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  <w:r>
        <w:rPr>
          <w:b/>
          <w:bCs/>
          <w:caps/>
          <w:sz w:val="48"/>
          <w:szCs w:val="48"/>
        </w:rPr>
        <w:t>önértékelés</w:t>
      </w:r>
    </w:p>
    <w:p w:rsidR="002E79C9" w:rsidRPr="00073AFC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a</w:t>
      </w:r>
      <w:r w:rsidR="00243A0D" w:rsidRPr="00073AFC">
        <w:rPr>
          <w:b/>
          <w:bCs/>
          <w:sz w:val="48"/>
          <w:szCs w:val="48"/>
        </w:rPr>
        <w:t xml:space="preserve"> </w:t>
      </w:r>
      <w:r w:rsidR="006E0961" w:rsidRPr="00073AFC">
        <w:rPr>
          <w:b/>
          <w:bCs/>
          <w:sz w:val="48"/>
          <w:szCs w:val="48"/>
        </w:rPr>
        <w:t>környezetmérnöki</w:t>
      </w:r>
      <w:r w:rsidR="00243A0D" w:rsidRPr="00073AFC">
        <w:rPr>
          <w:b/>
          <w:bCs/>
          <w:caps/>
          <w:sz w:val="48"/>
          <w:szCs w:val="48"/>
        </w:rPr>
        <w:t xml:space="preserve"> </w:t>
      </w:r>
      <w:r w:rsidRPr="00073AFC">
        <w:rPr>
          <w:b/>
          <w:bCs/>
          <w:sz w:val="48"/>
          <w:szCs w:val="48"/>
        </w:rPr>
        <w:t>szak</w:t>
      </w:r>
      <w:r w:rsidR="00586E71" w:rsidRPr="00073AFC">
        <w:rPr>
          <w:b/>
          <w:bCs/>
          <w:sz w:val="48"/>
          <w:szCs w:val="48"/>
        </w:rPr>
        <w:t>ok</w:t>
      </w:r>
    </w:p>
    <w:p w:rsidR="002E79C9" w:rsidRDefault="002E79C9" w:rsidP="003A5E47">
      <w:pPr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20</w:t>
      </w:r>
      <w:r w:rsidR="00813A15" w:rsidRPr="00073AFC">
        <w:rPr>
          <w:b/>
          <w:bCs/>
          <w:sz w:val="48"/>
          <w:szCs w:val="48"/>
        </w:rPr>
        <w:t>1</w:t>
      </w:r>
      <w:r w:rsidR="004D6CE9">
        <w:rPr>
          <w:b/>
          <w:bCs/>
          <w:sz w:val="48"/>
          <w:szCs w:val="48"/>
        </w:rPr>
        <w:t>5</w:t>
      </w:r>
      <w:r w:rsidRPr="00073AFC">
        <w:rPr>
          <w:b/>
          <w:bCs/>
          <w:sz w:val="48"/>
          <w:szCs w:val="48"/>
        </w:rPr>
        <w:t>/20</w:t>
      </w:r>
      <w:r w:rsidR="00813A15" w:rsidRPr="00073AFC">
        <w:rPr>
          <w:b/>
          <w:bCs/>
          <w:sz w:val="48"/>
          <w:szCs w:val="48"/>
        </w:rPr>
        <w:t>1</w:t>
      </w:r>
      <w:r w:rsidR="004D6CE9">
        <w:rPr>
          <w:b/>
          <w:bCs/>
          <w:sz w:val="48"/>
          <w:szCs w:val="48"/>
        </w:rPr>
        <w:t>6</w:t>
      </w:r>
      <w:r w:rsidRPr="00073AFC">
        <w:rPr>
          <w:b/>
          <w:bCs/>
          <w:sz w:val="48"/>
          <w:szCs w:val="48"/>
        </w:rPr>
        <w:t>. tanévéről</w:t>
      </w: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Pr="00073AFC" w:rsidRDefault="00BB1193" w:rsidP="003A5E47">
      <w:pPr>
        <w:jc w:val="center"/>
        <w:rPr>
          <w:b/>
          <w:bCs/>
          <w:sz w:val="48"/>
          <w:szCs w:val="48"/>
        </w:rPr>
      </w:pP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F652D1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481583921" w:history="1">
        <w:r w:rsidR="00F652D1" w:rsidRPr="0043384D">
          <w:rPr>
            <w:rStyle w:val="Hiperhivatkozs"/>
            <w:noProof/>
          </w:rPr>
          <w:t>0: A szak alapadatai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_Toc481583921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3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2" w:history="1">
        <w:r w:rsidR="00F652D1" w:rsidRPr="0043384D">
          <w:rPr>
            <w:rStyle w:val="Hiperhivatkozs"/>
            <w:noProof/>
          </w:rPr>
          <w:t>A) MILYEN KÉPZÉSI HELYEN, MILYEN KÉPZÉSI FORMÁBAN INDUL(T) A SZAK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_Toc481583922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3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3" w:history="1">
        <w:r w:rsidR="00F652D1" w:rsidRPr="0043384D">
          <w:rPr>
            <w:rStyle w:val="Hiperhivatkozs"/>
            <w:noProof/>
          </w:rPr>
          <w:t>B) A KÉPZÉS SZEMÉLYI FELTÉTELEI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_Toc481583923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3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4" w:history="1">
        <w:r w:rsidR="00F652D1" w:rsidRPr="0043384D">
          <w:rPr>
            <w:rStyle w:val="Hiperhivatkozs"/>
            <w:noProof/>
          </w:rPr>
          <w:t>C) A KÉPZÉSI ÉS KIMENETI KÖVETELMÉNYEKBEN FELSOROLT KOMPETENCIÁK ELSAJÁTÍTTATÁSÁNAK BEMUTATÁSA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_Toc481583924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4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5" w:history="1">
        <w:r w:rsidR="00F652D1" w:rsidRPr="0043384D">
          <w:rPr>
            <w:rStyle w:val="Hiperhivatkozs"/>
            <w:noProof/>
          </w:rPr>
          <w:t>D) A SZAKON FOLYÓ KÉPZÉS TUDOMÁNYOS HÁTTERE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_Toc481583925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6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6" w:history="1">
        <w:r w:rsidR="00F652D1" w:rsidRPr="0043384D">
          <w:rPr>
            <w:rStyle w:val="Hiperhivatkozs"/>
            <w:noProof/>
          </w:rPr>
          <w:t>E ) A SZAKON FOLYÓ KÉPZÉS INFRASTRUKTURÁLIS FELTÉTELEI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_Toc481583926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8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7" w:history="1">
        <w:r w:rsidR="00F652D1" w:rsidRPr="0043384D">
          <w:rPr>
            <w:rStyle w:val="Hiperhivatkozs"/>
            <w:noProof/>
          </w:rPr>
          <w:t>F) A TERVEZETT ÉS MEGVALÓSULT HALLGATÓI LÉTSZÁM.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_Toc481583927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10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8" w:history="1">
        <w:r w:rsidR="00F652D1" w:rsidRPr="0043384D">
          <w:rPr>
            <w:rStyle w:val="Hiperhivatkozs"/>
            <w:noProof/>
          </w:rPr>
          <w:t>1. Felvételi adatok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_Toc481583928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11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29" w:history="1">
        <w:r w:rsidR="00F652D1" w:rsidRPr="0043384D">
          <w:rPr>
            <w:rStyle w:val="Hiperhivatkozs"/>
            <w:noProof/>
          </w:rPr>
          <w:t>3. Tantárgyi teljesítések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_Toc481583929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14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0" w:history="1">
        <w:r w:rsidR="00F652D1" w:rsidRPr="0043384D">
          <w:rPr>
            <w:rStyle w:val="Hiperhivatkozs"/>
            <w:noProof/>
          </w:rPr>
          <w:t>4. Záróvizsga értékelése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_Toc481583930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20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1" w:history="1">
        <w:r w:rsidR="00F652D1" w:rsidRPr="0043384D">
          <w:rPr>
            <w:rStyle w:val="Hiperhivatkozs"/>
            <w:noProof/>
          </w:rPr>
          <w:t>5. A képzési folyamat és eredményei (MAB KÖVETELMÉNY)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_Toc481583931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21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2" w:history="1">
        <w:r w:rsidR="00F652D1" w:rsidRPr="0043384D">
          <w:rPr>
            <w:rStyle w:val="Hiperhivatkozs"/>
            <w:noProof/>
          </w:rPr>
          <w:t>6. Minőségbiztosítás, minőségfejlesztés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_Toc481583932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25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3" w:history="1">
        <w:r w:rsidR="00F652D1" w:rsidRPr="0043384D">
          <w:rPr>
            <w:rStyle w:val="Hiperhivatkozs"/>
            <w:noProof/>
          </w:rPr>
          <w:t>7. Felhasználói szempontok, kapcsolati formák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_Toc481583933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26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4" w:history="1">
        <w:r w:rsidR="00F652D1" w:rsidRPr="0043384D">
          <w:rPr>
            <w:rStyle w:val="Hiperhivatkozs"/>
            <w:noProof/>
          </w:rPr>
          <w:t>8. Intézkedési javaslatok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_Toc481583934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27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5" w:history="1">
        <w:r w:rsidR="00F652D1" w:rsidRPr="0043384D">
          <w:rPr>
            <w:rStyle w:val="Hiperhivatkozs"/>
            <w:noProof/>
          </w:rPr>
          <w:t>8.1. Intézkedési javaslatok 2014-ben: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_Toc481583935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27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6" w:history="1">
        <w:r w:rsidR="00F652D1" w:rsidRPr="0043384D">
          <w:rPr>
            <w:rStyle w:val="Hiperhivatkozs"/>
            <w:noProof/>
          </w:rPr>
          <w:t>8.2. Intézkedési javaslatok megvalósulása 2015-ban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_Toc481583936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27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7" w:history="1">
        <w:r w:rsidR="00F652D1" w:rsidRPr="0043384D">
          <w:rPr>
            <w:rStyle w:val="Hiperhivatkozs"/>
            <w:noProof/>
          </w:rPr>
          <w:t>8.3. Intézkedési javaslatok 2016-ra: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_Toc481583937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27</w:t>
        </w:r>
        <w:r w:rsidR="00F652D1">
          <w:rPr>
            <w:noProof/>
            <w:webHidden/>
          </w:rPr>
          <w:fldChar w:fldCharType="end"/>
        </w:r>
      </w:hyperlink>
    </w:p>
    <w:p w:rsidR="00F652D1" w:rsidRDefault="00CC137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583938" w:history="1">
        <w:r w:rsidR="00F652D1" w:rsidRPr="0043384D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F652D1">
          <w:rPr>
            <w:noProof/>
            <w:webHidden/>
          </w:rPr>
          <w:tab/>
        </w:r>
        <w:r w:rsidR="00F652D1">
          <w:rPr>
            <w:noProof/>
            <w:webHidden/>
          </w:rPr>
          <w:fldChar w:fldCharType="begin"/>
        </w:r>
        <w:r w:rsidR="00F652D1">
          <w:rPr>
            <w:noProof/>
            <w:webHidden/>
          </w:rPr>
          <w:instrText xml:space="preserve"> PAGEREF _Toc481583938 \h </w:instrText>
        </w:r>
        <w:r w:rsidR="00F652D1">
          <w:rPr>
            <w:noProof/>
            <w:webHidden/>
          </w:rPr>
        </w:r>
        <w:r w:rsidR="00F652D1">
          <w:rPr>
            <w:noProof/>
            <w:webHidden/>
          </w:rPr>
          <w:fldChar w:fldCharType="separate"/>
        </w:r>
        <w:r w:rsidR="00F652D1">
          <w:rPr>
            <w:noProof/>
            <w:webHidden/>
          </w:rPr>
          <w:t>28</w:t>
        </w:r>
        <w:r w:rsidR="00F652D1"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878DD">
      <w:pPr>
        <w:pStyle w:val="Nincstrkz"/>
      </w:pPr>
      <w:r>
        <w:br w:type="page"/>
      </w:r>
      <w:bookmarkStart w:id="1" w:name="_Toc116285535"/>
    </w:p>
    <w:p w:rsidR="00235723" w:rsidRPr="00333032" w:rsidRDefault="00235723" w:rsidP="00235723">
      <w:pPr>
        <w:pStyle w:val="0CM1"/>
      </w:pPr>
      <w:bookmarkStart w:id="2" w:name="_Toc481583921"/>
      <w:r w:rsidRPr="00333032">
        <w:lastRenderedPageBreak/>
        <w:t>0: A szak alapadatai</w:t>
      </w:r>
      <w:bookmarkEnd w:id="2"/>
      <w:r w:rsidRPr="00333032">
        <w:t xml:space="preserve"> </w:t>
      </w:r>
    </w:p>
    <w:p w:rsidR="00235723" w:rsidRPr="00333032" w:rsidRDefault="00235723" w:rsidP="00235723">
      <w:pPr>
        <w:pStyle w:val="0CM2"/>
      </w:pPr>
      <w:bookmarkStart w:id="3" w:name="_Toc481583922"/>
      <w:r w:rsidRPr="00333032">
        <w:t>A</w:t>
      </w:r>
      <w:r w:rsidR="00D3397F">
        <w:t>)</w:t>
      </w:r>
      <w:r w:rsidRPr="00333032">
        <w:t xml:space="preserve"> MILYEN KÉPZÉSI HELYEN, MILYEN KÉPZÉSI FORMÁBAN INDUL(T) A SZAK</w:t>
      </w:r>
      <w:bookmarkEnd w:id="3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Km B.Sc. nappali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nappali</w:t>
      </w:r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levelező</w:t>
      </w:r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M.Sc. levelező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BB1193" w:rsidRDefault="00BB1193" w:rsidP="00235723">
      <w:pPr>
        <w:rPr>
          <w:b/>
          <w:sz w:val="22"/>
          <w:szCs w:val="22"/>
        </w:rPr>
      </w:pPr>
    </w:p>
    <w:p w:rsidR="00BB1193" w:rsidRDefault="00BB1193" w:rsidP="0023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Szakfelelős: </w:t>
      </w:r>
      <w:r w:rsidRPr="00BB1193">
        <w:rPr>
          <w:sz w:val="22"/>
          <w:szCs w:val="22"/>
        </w:rPr>
        <w:t>Dr. Domokos Endre</w:t>
      </w:r>
    </w:p>
    <w:p w:rsidR="00BB1193" w:rsidRDefault="00BB1193" w:rsidP="00235723">
      <w:pPr>
        <w:rPr>
          <w:b/>
          <w:sz w:val="22"/>
          <w:szCs w:val="22"/>
        </w:rPr>
      </w:pP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MSc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235723" w:rsidRDefault="00235723" w:rsidP="00235723">
      <w:pPr>
        <w:pStyle w:val="0CM2"/>
      </w:pPr>
      <w:bookmarkStart w:id="4" w:name="_Toc481583923"/>
      <w:r>
        <w:rPr>
          <w:szCs w:val="24"/>
        </w:rPr>
        <w:t>B</w:t>
      </w:r>
      <w:r w:rsidR="00D3397F">
        <w:rPr>
          <w:szCs w:val="24"/>
        </w:rPr>
        <w:t>)</w:t>
      </w:r>
      <w:r w:rsidRPr="00235723">
        <w:rPr>
          <w:szCs w:val="24"/>
        </w:rPr>
        <w:t xml:space="preserve"> A KÉPZÉS SZEMÉLYI FELTÉTELEI</w:t>
      </w:r>
      <w:bookmarkEnd w:id="4"/>
    </w:p>
    <w:p w:rsidR="00235723" w:rsidRPr="00D3397F" w:rsidRDefault="00235723" w:rsidP="00D3397F">
      <w:pPr>
        <w:rPr>
          <w:rFonts w:ascii="Arial" w:hAnsi="Arial" w:cs="Arial"/>
          <w:i/>
          <w:szCs w:val="22"/>
        </w:rPr>
      </w:pPr>
      <w:r w:rsidRPr="00D3397F">
        <w:rPr>
          <w:rFonts w:ascii="Arial" w:hAnsi="Arial" w:cs="Arial"/>
          <w:i/>
        </w:rPr>
        <w:t>A szakfelelős és a szakirányfelelősö</w:t>
      </w:r>
      <w:r w:rsidRPr="00D3397F">
        <w:rPr>
          <w:rFonts w:ascii="Arial" w:hAnsi="Arial" w:cs="Arial"/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0F615D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r>
              <w:t>Dr. 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E425EB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>Km B.Sc.</w:t>
            </w:r>
          </w:p>
          <w:p w:rsidR="000F615D" w:rsidRPr="00333032" w:rsidRDefault="000F615D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 xml:space="preserve">B.Sc. </w:t>
            </w:r>
            <w:r w:rsidR="004D6CE9">
              <w:t>17</w:t>
            </w:r>
            <w:r>
              <w:t>/2</w:t>
            </w:r>
            <w:r w:rsidR="004D6CE9">
              <w:t>9</w:t>
            </w:r>
          </w:p>
          <w:p w:rsidR="000F615D" w:rsidRPr="00333032" w:rsidRDefault="000F615D" w:rsidP="00C5002C">
            <w:pPr>
              <w:jc w:val="center"/>
            </w:pPr>
            <w:r>
              <w:t xml:space="preserve">M.Sc. </w:t>
            </w:r>
            <w:r w:rsidR="004D6CE9">
              <w:t>12</w:t>
            </w:r>
            <w:r>
              <w:t>/2</w:t>
            </w:r>
            <w:r w:rsidR="004D6CE9">
              <w:t>9</w:t>
            </w:r>
          </w:p>
        </w:tc>
      </w:tr>
      <w:tr w:rsidR="00235723" w:rsidRPr="00333032" w:rsidTr="00235723">
        <w:tc>
          <w:tcPr>
            <w:tcW w:w="1210" w:type="pct"/>
            <w:shd w:val="clear" w:color="auto" w:fill="FFFF99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C5002C">
              <w:t>2</w:t>
            </w:r>
            <w:r>
              <w:t>/</w:t>
            </w:r>
            <w:r w:rsidR="00C5002C">
              <w:t>13</w:t>
            </w:r>
          </w:p>
          <w:p w:rsidR="00235723" w:rsidRPr="00333032" w:rsidRDefault="00485682" w:rsidP="00C5002C">
            <w:pPr>
              <w:jc w:val="center"/>
            </w:pPr>
            <w:r>
              <w:t xml:space="preserve">M.Sc. </w:t>
            </w:r>
            <w:r w:rsidR="004D6CE9">
              <w:t>11</w:t>
            </w:r>
            <w:r>
              <w:t>/</w:t>
            </w:r>
            <w:r w:rsidR="00C5002C">
              <w:t>13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EE7D4B">
              <w:t>2</w:t>
            </w:r>
            <w:r>
              <w:t>/</w:t>
            </w:r>
            <w:r w:rsidR="004D6CE9">
              <w:t>10</w:t>
            </w:r>
          </w:p>
          <w:p w:rsidR="00235723" w:rsidRPr="00333032" w:rsidRDefault="00485682" w:rsidP="00EE7D4B">
            <w:pPr>
              <w:jc w:val="center"/>
            </w:pPr>
            <w:r>
              <w:t xml:space="preserve">M.Sc. </w:t>
            </w:r>
            <w:r w:rsidR="004D6CE9">
              <w:t>8</w:t>
            </w:r>
            <w:r>
              <w:t>/</w:t>
            </w:r>
            <w:r w:rsidR="004D6CE9">
              <w:t>10</w:t>
            </w:r>
          </w:p>
        </w:tc>
      </w:tr>
    </w:tbl>
    <w:p w:rsidR="00BB1193" w:rsidRDefault="00BB1193">
      <w:r>
        <w:br w:type="page"/>
      </w:r>
    </w:p>
    <w:p w:rsidR="00BB1193" w:rsidRPr="00333032" w:rsidRDefault="00BB1193" w:rsidP="000F615D"/>
    <w:p w:rsidR="00235723" w:rsidRPr="00333032" w:rsidRDefault="00235723" w:rsidP="00485682">
      <w:pPr>
        <w:pStyle w:val="0CM2"/>
      </w:pPr>
      <w:bookmarkStart w:id="5" w:name="_Toc481583924"/>
      <w:r w:rsidRPr="00333032">
        <w:t>C</w:t>
      </w:r>
      <w:r w:rsidR="00D3397F">
        <w:t>)</w:t>
      </w:r>
      <w:r w:rsidRPr="00333032">
        <w:t xml:space="preserve"> A KÉPZÉSI ÉS KIMENETI KÖVETELMÉNYEKBEN FELSOROLT KOMPETENCIÁK ELSAJÁTÍTTATÁSÁNAK BEMUTATÁSA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 xml:space="preserve">Hogyan vizsgálják a fejlesztés eredményességét? </w:t>
            </w:r>
            <w:r w:rsidRPr="00CF7E0E">
              <w:rPr>
                <w:i/>
                <w:sz w:val="22"/>
                <w:szCs w:val="22"/>
              </w:rPr>
              <w:t>(max. két oldal terjedelemben)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60587" w:rsidRPr="00CF7E0E" w:rsidRDefault="00E60587" w:rsidP="00E60587">
            <w:pPr>
              <w:ind w:left="284"/>
              <w:jc w:val="both"/>
              <w:rPr>
                <w:spacing w:val="-4"/>
                <w:sz w:val="22"/>
                <w:szCs w:val="22"/>
              </w:rPr>
            </w:pP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szakterülethez kapcsolódó aktuális tudományos munkák ismerete, kritikus értékelése, a </w:t>
            </w:r>
            <w:r w:rsidRPr="00CF7E0E">
              <w:rPr>
                <w:sz w:val="22"/>
                <w:szCs w:val="22"/>
              </w:rPr>
              <w:lastRenderedPageBreak/>
              <w:t>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D3397F">
              <w:rPr>
                <w:sz w:val="22"/>
                <w:szCs w:val="22"/>
              </w:rPr>
              <w:t>a lehetőségek szerinti helytálló</w:t>
            </w:r>
            <w:r w:rsidRPr="00CF7E0E">
              <w:rPr>
                <w:sz w:val="22"/>
                <w:szCs w:val="22"/>
              </w:rPr>
              <w:t xml:space="preserve">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tanulmányaikat </w:t>
            </w:r>
            <w:r w:rsidRPr="00D3397F">
              <w:rPr>
                <w:sz w:val="22"/>
                <w:szCs w:val="22"/>
              </w:rPr>
              <w:t>Ph.D</w:t>
            </w:r>
            <w:r w:rsidR="00834EA1" w:rsidRPr="00D3397F">
              <w:rPr>
                <w:sz w:val="22"/>
                <w:szCs w:val="22"/>
              </w:rPr>
              <w:t xml:space="preserve"> képzés keretében</w:t>
            </w:r>
            <w:r w:rsidRPr="00D3397F">
              <w:rPr>
                <w:sz w:val="22"/>
                <w:szCs w:val="22"/>
              </w:rPr>
              <w:t xml:space="preserve"> fo</w:t>
            </w:r>
            <w:r w:rsidRPr="00CF7E0E">
              <w:rPr>
                <w:sz w:val="22"/>
                <w:szCs w:val="22"/>
              </w:rPr>
              <w:t>lytatni;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6" w:name="_Toc481583925"/>
      <w:r w:rsidRPr="0044027E">
        <w:lastRenderedPageBreak/>
        <w:t>D) A SZAKON FOLYÓ KÉPZÉS TUDOMÁNYOS HÁTTERE</w:t>
      </w:r>
      <w:bookmarkEnd w:id="6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műhely(ek)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 xml:space="preserve">programja  </w:t>
            </w:r>
            <w:r w:rsidRPr="00CF7E0E">
              <w:rPr>
                <w:i/>
                <w:sz w:val="22"/>
                <w:szCs w:val="22"/>
              </w:rPr>
              <w:t>(RÖVIDEN, csak a KÉPZÉST TÉNYLEGESEN ÉRINTŐ KÉRDÉSEKRŐL ÍRJON)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diploma munka)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biofilm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>, az üzemelési paraméterekre és a folyamatok nyomonkövetésére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aktivitás mérésekre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csőreaktorok, 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Jelenleg futó, és ígéretesnek tűnő kutatási témáink: Új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Kft-vel, valamint a Veszprémi Közüzemi Zrt-vel. Ezt az is bizonyítja, hogy a tavalyi </w:t>
            </w:r>
            <w:r w:rsidRPr="001A7CF2">
              <w:rPr>
                <w:sz w:val="22"/>
                <w:szCs w:val="22"/>
              </w:rPr>
              <w:lastRenderedPageBreak/>
              <w:t>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>Kaolinit organokomplexek szerkezetvizsgálatai termikus, röntgendiffrakciós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>csökkentő organominerális komplexumok</w:t>
            </w:r>
            <w:r w:rsidR="00E84660">
              <w:rPr>
                <w:sz w:val="22"/>
                <w:szCs w:val="22"/>
              </w:rPr>
              <w:t xml:space="preserve"> és nanokatalizátorok</w:t>
            </w:r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Sugaras balesetek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 xml:space="preserve">nnak adminisztrációs </w:t>
            </w:r>
            <w:r w:rsidR="006F08C4" w:rsidRPr="00CF7E0E">
              <w:rPr>
                <w:sz w:val="22"/>
                <w:szCs w:val="22"/>
              </w:rPr>
              <w:lastRenderedPageBreak/>
              <w:t>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Számításos kémia:</w:t>
            </w:r>
          </w:p>
          <w:p w:rsidR="006F08C4" w:rsidRPr="00CF7E0E" w:rsidRDefault="006F08C4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  <w:p w:rsidR="00DD43CA" w:rsidRPr="00CF7E0E" w:rsidRDefault="00DD43CA" w:rsidP="00DD43CA">
            <w:pPr>
              <w:ind w:left="66"/>
              <w:rPr>
                <w:sz w:val="22"/>
                <w:szCs w:val="22"/>
              </w:rPr>
            </w:pP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7" w:name="_Toc481583926"/>
      <w:r w:rsidRPr="0044027E">
        <w:lastRenderedPageBreak/>
        <w:t>E ) A SZAKON FOLYÓ KÉPZÉS INFRASTRUKTURÁLIS FELTÉTELEI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 (</w:t>
            </w:r>
            <w:r w:rsidRPr="00CF7E0E">
              <w:rPr>
                <w:i/>
                <w:sz w:val="22"/>
                <w:szCs w:val="22"/>
              </w:rPr>
              <w:t>Kérem röviden, szövegesen értékelje, konkrét fejlesztéseket, eredményeket megjelölve</w:t>
            </w:r>
            <w:r w:rsidRPr="00CF7E0E">
              <w:rPr>
                <w:sz w:val="22"/>
                <w:szCs w:val="22"/>
              </w:rPr>
              <w:t>):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383B98"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383B98" w:rsidRDefault="00383B98" w:rsidP="00090E0C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 </w:t>
            </w:r>
            <w:r w:rsidR="007E3FB1">
              <w:rPr>
                <w:szCs w:val="22"/>
              </w:rPr>
              <w:t>A C épület felújítása után megtörtént a visszaköltözés, így korszerű, modern környezetben folyik az oktatás.</w:t>
            </w:r>
            <w:r w:rsidR="00090E0C">
              <w:rPr>
                <w:szCs w:val="22"/>
              </w:rPr>
              <w:t xml:space="preserve"> </w:t>
            </w:r>
          </w:p>
        </w:tc>
      </w:tr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 (Ide írjon a laborfejlesztésekről, a szakképzési hozzájárulás felhasználásának módjáról, céljáról, az esetleg elengedhetetlennek tartott fejlesztési igényekről.):</w:t>
            </w:r>
          </w:p>
        </w:tc>
      </w:tr>
      <w:tr w:rsidR="00235723" w:rsidRPr="00333032" w:rsidTr="00383B98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levegőtisztaság-védelmi kutatásokra, pl.: denox és VOC mentesítés.</w:t>
            </w:r>
          </w:p>
          <w:p w:rsidR="00A878DD" w:rsidRPr="00CF7E0E" w:rsidRDefault="00A878DD" w:rsidP="00FD0054">
            <w:pPr>
              <w:jc w:val="both"/>
              <w:rPr>
                <w:sz w:val="22"/>
                <w:szCs w:val="22"/>
              </w:rPr>
            </w:pP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 10, QGis </w:t>
            </w:r>
            <w:r w:rsidR="0007583D">
              <w:rPr>
                <w:szCs w:val="22"/>
              </w:rPr>
              <w:t>2</w:t>
            </w:r>
            <w:r w:rsidRPr="00CF7E0E">
              <w:rPr>
                <w:szCs w:val="22"/>
              </w:rPr>
              <w:t>.</w:t>
            </w:r>
            <w:r w:rsidR="007E3FB1">
              <w:rPr>
                <w:szCs w:val="22"/>
              </w:rPr>
              <w:t>13</w:t>
            </w:r>
            <w:r w:rsidRPr="00CF7E0E">
              <w:rPr>
                <w:szCs w:val="22"/>
              </w:rPr>
              <w:t xml:space="preserve">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>z infrastruktúra</w:t>
            </w:r>
            <w:r w:rsidRPr="00CF7E0E">
              <w:rPr>
                <w:szCs w:val="22"/>
              </w:rPr>
              <w:t xml:space="preserve"> jelentős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FT-Raman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ASAP-2000, Pulse Chemisorb 2705, Carlo Erba Porosimetro ’70 pórus- és fajlagos felület mérő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lastRenderedPageBreak/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Pr="00CF7E0E">
              <w:rPr>
                <w:i/>
                <w:szCs w:val="22"/>
              </w:rPr>
              <w:t>a könyvtár ezen adatait tartalmazó honlap címe (</w:t>
            </w:r>
            <w:r w:rsidRPr="00CF7E0E">
              <w:rPr>
                <w:szCs w:val="22"/>
              </w:rPr>
              <w:t>Részletezze, hogy MOODLE-ben mennyi tananyag elérhető.</w:t>
            </w:r>
            <w:r w:rsidRPr="00CF7E0E">
              <w:rPr>
                <w:i/>
                <w:szCs w:val="22"/>
              </w:rPr>
              <w:t>)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07583D" w:rsidP="00BD5BC3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Az Egyetemi könyvtárban lévő szakkönyvek (Aleph rendszer </w:t>
            </w:r>
            <w:hyperlink r:id="rId9" w:history="1">
              <w:r w:rsidRPr="002A7C04">
                <w:rPr>
                  <w:rStyle w:val="Hiperhivatkozs"/>
                  <w:szCs w:val="22"/>
                </w:rPr>
                <w:t>http://193.6.34.220:8992/F</w:t>
              </w:r>
            </w:hyperlink>
            <w:r w:rsidRPr="002A7C04">
              <w:rPr>
                <w:szCs w:val="22"/>
              </w:rPr>
              <w:t>), és folyóiratok (</w:t>
            </w:r>
            <w:hyperlink r:id="rId10" w:history="1">
              <w:r w:rsidRPr="002A7C04">
                <w:rPr>
                  <w:rStyle w:val="Hiperhivatkozs"/>
                  <w:szCs w:val="22"/>
                </w:rPr>
                <w:t>http://konyvtar.uni-pannon.hu/hu/node/261</w:t>
              </w:r>
            </w:hyperlink>
            <w:r w:rsidRPr="002A7C04">
              <w:rPr>
                <w:szCs w:val="22"/>
              </w:rPr>
              <w:t>), illetve a könyvtár ol</w:t>
            </w:r>
            <w:r>
              <w:rPr>
                <w:szCs w:val="22"/>
              </w:rPr>
              <w:t>vasótermében lévő kézikönyvek (p</w:t>
            </w:r>
            <w:r w:rsidRPr="002A7C04">
              <w:rPr>
                <w:szCs w:val="22"/>
              </w:rPr>
              <w:t>l. Perry, Kirk-Othmer, Be</w:t>
            </w:r>
            <w:r>
              <w:rPr>
                <w:szCs w:val="22"/>
              </w:rPr>
              <w:t>i</w:t>
            </w:r>
            <w:r w:rsidRPr="002A7C04">
              <w:rPr>
                <w:szCs w:val="22"/>
              </w:rPr>
              <w:t>lstein</w:t>
            </w:r>
            <w:r>
              <w:rPr>
                <w:szCs w:val="22"/>
              </w:rPr>
              <w:t>, stb.</w:t>
            </w:r>
            <w:r w:rsidRPr="002A7C04">
              <w:rPr>
                <w:szCs w:val="22"/>
              </w:rPr>
              <w:t>) biztosítják a hallgatók felkészülésének támogatását. Ugyancsak fontosak a könyvtár honlapján (</w:t>
            </w:r>
            <w:hyperlink r:id="rId11" w:history="1">
              <w:r w:rsidRPr="002A7C04">
                <w:rPr>
                  <w:rStyle w:val="Hiperhivatkozs"/>
                  <w:szCs w:val="22"/>
                </w:rPr>
                <w:t>http://konyvtar.uni-pannon.hu/hu</w:t>
              </w:r>
            </w:hyperlink>
            <w:r w:rsidRPr="002A7C04">
              <w:rPr>
                <w:szCs w:val="22"/>
              </w:rPr>
              <w:t>) keresztül elérhető on-line adatbázisok, folyóirat bázisok (pl. EISZ, SFX, METALIB, DIGITOOL).</w:t>
            </w:r>
            <w:r w:rsidR="00BD5BC3" w:rsidRPr="00E901FF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="00BD5BC3" w:rsidRPr="00E901FF">
              <w:rPr>
                <w:szCs w:val="22"/>
              </w:rPr>
              <w:t xml:space="preserve"> </w:t>
            </w:r>
            <w:r w:rsidR="00FD0054" w:rsidRPr="00E901FF">
              <w:rPr>
                <w:szCs w:val="22"/>
              </w:rPr>
              <w:t>KMI-ben</w:t>
            </w:r>
            <w:r w:rsidR="00BD5BC3" w:rsidRPr="00E901FF">
              <w:rPr>
                <w:szCs w:val="22"/>
              </w:rPr>
              <w:t xml:space="preserve"> 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="00BD5BC3" w:rsidRPr="00E901FF">
              <w:rPr>
                <w:szCs w:val="22"/>
              </w:rPr>
              <w:t>. Jelenleg 8 db DVD-n érhető el az állomány.</w:t>
            </w:r>
          </w:p>
          <w:p w:rsidR="0007583D" w:rsidRDefault="0007583D" w:rsidP="008633A8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hyperlink r:id="rId12" w:history="1">
              <w:r w:rsidRPr="002319D3">
                <w:rPr>
                  <w:rStyle w:val="Hiperhivatkozs"/>
                  <w:szCs w:val="22"/>
                </w:rPr>
                <w:t>http://mkweb.uni-pannon.hu/tudastar/</w:t>
              </w:r>
            </w:hyperlink>
            <w:r>
              <w:rPr>
                <w:szCs w:val="22"/>
              </w:rPr>
              <w:t xml:space="preserve"> honlapon a B.Sc. és M.Sc. képzés elvégzéséhez szükséges jegyzetek 92%-a elérhető magyar nyelven.</w:t>
            </w:r>
          </w:p>
          <w:p w:rsidR="00235723" w:rsidRPr="00CF7E0E" w:rsidRDefault="00FD0054" w:rsidP="008633A8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090E0C">
              <w:rPr>
                <w:szCs w:val="22"/>
              </w:rPr>
              <w:t xml:space="preserve">Moodle használata a </w:t>
            </w:r>
            <w:r w:rsidR="00F95499">
              <w:rPr>
                <w:szCs w:val="22"/>
              </w:rPr>
              <w:t>korábbi</w:t>
            </w:r>
            <w:r w:rsidR="0093472B" w:rsidRPr="00E901FF">
              <w:rPr>
                <w:szCs w:val="22"/>
              </w:rPr>
              <w:t xml:space="preserve"> 74</w:t>
            </w:r>
            <w:r w:rsidR="00090E0C">
              <w:rPr>
                <w:szCs w:val="22"/>
              </w:rPr>
              <w:t>-</w:t>
            </w:r>
            <w:r w:rsidR="00F95499">
              <w:rPr>
                <w:szCs w:val="22"/>
              </w:rPr>
              <w:t>78%</w:t>
            </w:r>
            <w:r w:rsidR="00090E0C">
              <w:rPr>
                <w:szCs w:val="22"/>
              </w:rPr>
              <w:t>-ról 87%-ra emelkedett. A</w:t>
            </w:r>
            <w:r w:rsidR="00C63A32" w:rsidRPr="00E901FF">
              <w:rPr>
                <w:szCs w:val="22"/>
              </w:rPr>
              <w:t>z</w:t>
            </w:r>
            <w:r w:rsidR="00861D56" w:rsidRPr="00E901FF">
              <w:rPr>
                <w:szCs w:val="22"/>
              </w:rPr>
              <w:t xml:space="preserve"> M.Sc.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="00C63A32"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t xml:space="preserve">esetében </w:t>
            </w:r>
            <w:r w:rsidR="00F95499">
              <w:rPr>
                <w:szCs w:val="22"/>
              </w:rPr>
              <w:t>sajnos nincs ilyen javulás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="00C63A32" w:rsidRPr="00E901FF">
              <w:rPr>
                <w:szCs w:val="22"/>
              </w:rPr>
              <w:t xml:space="preserve"> 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="00C63A32"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="00C63A32"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Moodle-rendszer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>a Moodle</w:t>
            </w:r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BSc-s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MSc-sek </w:t>
            </w:r>
            <w:r w:rsidR="009B2AD0" w:rsidRPr="00E901FF">
              <w:rPr>
                <w:szCs w:val="22"/>
              </w:rPr>
              <w:t>pedig aránylag rövid időt töltenek a képzésben.</w:t>
            </w:r>
            <w:r w:rsidR="008633A8">
              <w:rPr>
                <w:szCs w:val="22"/>
              </w:rPr>
              <w:t xml:space="preserve"> </w:t>
            </w:r>
            <w:r w:rsidR="00090E0C">
              <w:rPr>
                <w:szCs w:val="22"/>
              </w:rPr>
              <w:t>A pozitív változások mellett még mindig van lehetőség a fejlődésre és törekedni kell a közel 100%-os feltöltöttségre.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stb.), mindezek </w:t>
            </w:r>
            <w:r w:rsidRPr="00333032">
              <w:rPr>
                <w:b/>
                <w:i/>
                <w:szCs w:val="22"/>
              </w:rPr>
              <w:t>az idegen nyelven folyó képzésben az adott idegen nyelvű anyaggal!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44027E" w:rsidRDefault="00431C82" w:rsidP="008633A8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  <w:r w:rsidR="008633A8">
              <w:rPr>
                <w:szCs w:val="22"/>
              </w:rPr>
              <w:t xml:space="preserve"> </w:t>
            </w:r>
            <w:r w:rsidR="00383B98"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Moodle </w:t>
            </w:r>
            <w:r w:rsidR="00383B98">
              <w:rPr>
                <w:szCs w:val="22"/>
              </w:rPr>
              <w:t xml:space="preserve">e-learning </w:t>
            </w:r>
            <w:r w:rsidR="00383B98" w:rsidRPr="002A7C04">
              <w:rPr>
                <w:szCs w:val="22"/>
              </w:rPr>
              <w:t>rendszeren keresztül érhető</w:t>
            </w:r>
            <w:r w:rsidR="00383B98">
              <w:rPr>
                <w:szCs w:val="22"/>
              </w:rPr>
              <w:t>k</w:t>
            </w:r>
            <w:r w:rsidR="00383B98"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07583D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 w:rsidR="0007583D">
              <w:rPr>
                <w:szCs w:val="22"/>
              </w:rPr>
              <w:t xml:space="preserve"> </w:t>
            </w:r>
            <w:hyperlink r:id="rId13" w:history="1">
              <w:r w:rsidR="0007583D" w:rsidRPr="002319D3">
                <w:rPr>
                  <w:rStyle w:val="Hiperhivatkozs"/>
                  <w:szCs w:val="22"/>
                </w:rPr>
                <w:t>http://mk.uni-pannon.hu/index.php/koernyezetmernoeki-intezet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EC7A1E">
      <w:pPr>
        <w:pStyle w:val="0CM2"/>
      </w:pPr>
      <w:bookmarkStart w:id="8" w:name="_Toc481583927"/>
      <w:r w:rsidRPr="00333032">
        <w:t>F) A TERVEZETT ÉS MEGVALÓSULT HALLGATÓI LÉTSZÁM.</w:t>
      </w:r>
      <w:bookmarkEnd w:id="8"/>
    </w:p>
    <w:p w:rsidR="00AC5E6A" w:rsidRPr="00383B98" w:rsidRDefault="003F3BF2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07583D">
        <w:rPr>
          <w:sz w:val="22"/>
          <w:szCs w:val="22"/>
        </w:rPr>
        <w:t xml:space="preserve">folyamatosan </w:t>
      </w:r>
      <w:r w:rsidR="004F1F7A" w:rsidRPr="00205473">
        <w:rPr>
          <w:sz w:val="22"/>
          <w:szCs w:val="22"/>
        </w:rPr>
        <w:t>csökkent a környezetmérnöki szakra jelentkezők száma</w:t>
      </w:r>
      <w:r w:rsidR="0007583D">
        <w:rPr>
          <w:sz w:val="22"/>
          <w:szCs w:val="22"/>
        </w:rPr>
        <w:t xml:space="preserve"> összes száma</w:t>
      </w:r>
      <w:r w:rsidRPr="00205473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 xml:space="preserve">a környezetvédelem területén a végzett mérnökök már betöltötték és a generációváltástól még távol vagyunk. </w:t>
      </w:r>
      <w:r w:rsidR="0007583D">
        <w:rPr>
          <w:sz w:val="22"/>
          <w:szCs w:val="22"/>
        </w:rPr>
        <w:t xml:space="preserve">Az első helyen </w:t>
      </w:r>
      <w:r w:rsidR="0026146F">
        <w:rPr>
          <w:sz w:val="22"/>
          <w:szCs w:val="22"/>
        </w:rPr>
        <w:t>jelentkezettek</w:t>
      </w:r>
      <w:r w:rsidR="0007583D">
        <w:rPr>
          <w:sz w:val="22"/>
          <w:szCs w:val="22"/>
        </w:rPr>
        <w:t xml:space="preserve"> száma, illetve a </w:t>
      </w:r>
      <w:r w:rsidR="0007583D">
        <w:rPr>
          <w:sz w:val="22"/>
          <w:szCs w:val="22"/>
        </w:rPr>
        <w:lastRenderedPageBreak/>
        <w:t xml:space="preserve">felvettek száma viszont állandósult, immár ötödik éve 20-21 fő. </w:t>
      </w:r>
      <w:r w:rsidR="004F1F7A" w:rsidRPr="00205473">
        <w:rPr>
          <w:sz w:val="22"/>
          <w:szCs w:val="22"/>
        </w:rPr>
        <w:t xml:space="preserve">Az alapszak mellett </w:t>
      </w:r>
      <w:r w:rsidR="00090E0C">
        <w:rPr>
          <w:sz w:val="22"/>
          <w:szCs w:val="22"/>
        </w:rPr>
        <w:t xml:space="preserve">nappali és levelező </w:t>
      </w:r>
      <w:r w:rsidR="004F1F7A" w:rsidRPr="00205473">
        <w:rPr>
          <w:sz w:val="22"/>
          <w:szCs w:val="22"/>
        </w:rPr>
        <w:t>mesterképzés is</w:t>
      </w:r>
      <w:r w:rsidR="00DD2413" w:rsidRPr="00205473">
        <w:rPr>
          <w:sz w:val="22"/>
          <w:szCs w:val="22"/>
        </w:rPr>
        <w:t xml:space="preserve"> működik</w:t>
      </w:r>
      <w:r w:rsidR="00090E0C">
        <w:rPr>
          <w:sz w:val="22"/>
          <w:szCs w:val="22"/>
        </w:rPr>
        <w:t>.</w:t>
      </w:r>
      <w:r w:rsidR="00DD2413" w:rsidRPr="00205473">
        <w:rPr>
          <w:sz w:val="22"/>
          <w:szCs w:val="22"/>
        </w:rPr>
        <w:t xml:space="preserve"> </w:t>
      </w:r>
      <w:r w:rsidR="007E6341">
        <w:rPr>
          <w:sz w:val="22"/>
          <w:szCs w:val="22"/>
        </w:rPr>
        <w:t>A</w:t>
      </w:r>
      <w:r w:rsidR="00A66603" w:rsidRPr="00205473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a levelező </w:t>
      </w:r>
      <w:r w:rsidR="00A66603" w:rsidRPr="00205473">
        <w:rPr>
          <w:sz w:val="22"/>
          <w:szCs w:val="22"/>
        </w:rPr>
        <w:t>MSc</w:t>
      </w:r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>
        <w:rPr>
          <w:sz w:val="22"/>
          <w:szCs w:val="22"/>
        </w:rPr>
        <w:t>ítása</w:t>
      </w:r>
      <w:r w:rsidR="00A66603" w:rsidRPr="00205473">
        <w:rPr>
          <w:sz w:val="22"/>
          <w:szCs w:val="22"/>
        </w:rPr>
        <w:t xml:space="preserve">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</w:t>
      </w:r>
      <w:r w:rsidR="00AC5E6A" w:rsidRPr="00205473">
        <w:rPr>
          <w:sz w:val="22"/>
          <w:szCs w:val="22"/>
        </w:rPr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="00AC5E6A"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folyamatos tanári, mentori/konzulensi ellenőrzés miatt a bennük lévő maximumot tudják kihozni magukból, amely a tehetséggondozás, illetve a PhD hallgatók létszámnöveléséne</w:t>
      </w:r>
      <w:r w:rsidR="0026146F">
        <w:rPr>
          <w:sz w:val="22"/>
          <w:szCs w:val="22"/>
        </w:rPr>
        <w:t>k egyik alternatívája is lehet.</w:t>
      </w:r>
    </w:p>
    <w:p w:rsidR="00AC5E6A" w:rsidRPr="00CF7E0E" w:rsidRDefault="0082715B" w:rsidP="00861D56">
      <w:pPr>
        <w:shd w:val="clear" w:color="auto" w:fill="FFFF99"/>
        <w:jc w:val="both"/>
        <w:rPr>
          <w:sz w:val="22"/>
          <w:szCs w:val="22"/>
        </w:rPr>
      </w:pPr>
      <w:r w:rsidRPr="00383B98">
        <w:rPr>
          <w:sz w:val="22"/>
          <w:szCs w:val="22"/>
        </w:rPr>
        <w:t>Az oktatói közösség felvállalja a kiscsoportos képzést, a leterheltség, a működési költségek külső forrásokból való biztosításának kényszere</w:t>
      </w:r>
      <w:r w:rsidRPr="00205473">
        <w:rPr>
          <w:sz w:val="22"/>
          <w:szCs w:val="22"/>
        </w:rPr>
        <w:t xml:space="preserve"> ellenére is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>kereslet</w:t>
      </w:r>
      <w:r w:rsidR="009576AE">
        <w:rPr>
          <w:sz w:val="22"/>
          <w:szCs w:val="22"/>
        </w:rPr>
        <w:t>-</w:t>
      </w:r>
      <w:r w:rsidR="001A7CF2">
        <w:rPr>
          <w:sz w:val="22"/>
          <w:szCs w:val="22"/>
        </w:rPr>
        <w:t>csökkenés</w:t>
      </w:r>
      <w:r w:rsidR="009576AE">
        <w:rPr>
          <w:sz w:val="22"/>
          <w:szCs w:val="22"/>
        </w:rPr>
        <w:t>é</w:t>
      </w:r>
      <w:r w:rsidR="001A7CF2">
        <w:rPr>
          <w:sz w:val="22"/>
          <w:szCs w:val="22"/>
        </w:rPr>
        <w:t xml:space="preserve">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9" w:name="_Toc481583928"/>
      <w:r w:rsidRPr="00AB1613">
        <w:lastRenderedPageBreak/>
        <w:t>1. Felvételi adatok</w:t>
      </w:r>
      <w:bookmarkEnd w:id="1"/>
      <w:bookmarkEnd w:id="9"/>
    </w:p>
    <w:p w:rsidR="0082715B" w:rsidRPr="00383B98" w:rsidRDefault="001403A6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 xml:space="preserve">A </w:t>
      </w:r>
      <w:r w:rsidR="00694AAB" w:rsidRPr="00383B98">
        <w:rPr>
          <w:sz w:val="22"/>
          <w:szCs w:val="22"/>
        </w:rPr>
        <w:t>20</w:t>
      </w:r>
      <w:r w:rsidR="004A1D7A">
        <w:rPr>
          <w:sz w:val="22"/>
          <w:szCs w:val="22"/>
        </w:rPr>
        <w:t>1</w:t>
      </w:r>
      <w:r w:rsidR="005A0FCB">
        <w:rPr>
          <w:sz w:val="22"/>
          <w:szCs w:val="22"/>
        </w:rPr>
        <w:t>5</w:t>
      </w:r>
      <w:r w:rsidR="00694AAB" w:rsidRPr="00383B98">
        <w:rPr>
          <w:sz w:val="22"/>
          <w:szCs w:val="22"/>
        </w:rPr>
        <w:t xml:space="preserve">. évi </w:t>
      </w:r>
      <w:r w:rsidRPr="00383B98">
        <w:rPr>
          <w:sz w:val="22"/>
          <w:szCs w:val="22"/>
        </w:rPr>
        <w:t>felvételi</w:t>
      </w:r>
      <w:r w:rsidR="00125C7A" w:rsidRPr="00383B98">
        <w:rPr>
          <w:sz w:val="22"/>
          <w:szCs w:val="22"/>
        </w:rPr>
        <w:t xml:space="preserve"> eljárásban összesen </w:t>
      </w:r>
      <w:r w:rsidR="0007583D">
        <w:rPr>
          <w:sz w:val="22"/>
          <w:szCs w:val="22"/>
        </w:rPr>
        <w:t>9</w:t>
      </w:r>
      <w:r w:rsidR="005A0FCB">
        <w:rPr>
          <w:sz w:val="22"/>
          <w:szCs w:val="22"/>
        </w:rPr>
        <w:t>0</w:t>
      </w:r>
      <w:r w:rsidR="005A44BF" w:rsidRPr="00383B98">
        <w:rPr>
          <w:sz w:val="22"/>
          <w:szCs w:val="22"/>
        </w:rPr>
        <w:t xml:space="preserve"> fő jelentkezett</w:t>
      </w:r>
      <w:r w:rsidR="00337781" w:rsidRPr="00383B98">
        <w:rPr>
          <w:sz w:val="22"/>
          <w:szCs w:val="22"/>
        </w:rPr>
        <w:t xml:space="preserve"> környezetmérnök B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 xml:space="preserve"> szakra</w:t>
      </w:r>
      <w:r w:rsidR="005A44BF" w:rsidRPr="00383B98">
        <w:rPr>
          <w:sz w:val="22"/>
          <w:szCs w:val="22"/>
        </w:rPr>
        <w:t xml:space="preserve">, közülük </w:t>
      </w:r>
      <w:r w:rsidR="0007583D">
        <w:rPr>
          <w:sz w:val="22"/>
          <w:szCs w:val="22"/>
        </w:rPr>
        <w:t>2</w:t>
      </w:r>
      <w:r w:rsidR="005A0FCB">
        <w:rPr>
          <w:sz w:val="22"/>
          <w:szCs w:val="22"/>
        </w:rPr>
        <w:t>1</w:t>
      </w:r>
      <w:r w:rsidR="005A44BF" w:rsidRPr="00383B98">
        <w:rPr>
          <w:sz w:val="22"/>
          <w:szCs w:val="22"/>
        </w:rPr>
        <w:t xml:space="preserve"> érdeklődő jelölte meg </w:t>
      </w:r>
      <w:r w:rsidR="0082715B" w:rsidRPr="00383B98">
        <w:rPr>
          <w:sz w:val="22"/>
          <w:szCs w:val="22"/>
        </w:rPr>
        <w:t xml:space="preserve">az intézményt </w:t>
      </w:r>
      <w:r w:rsidR="005A44BF" w:rsidRPr="00383B98">
        <w:rPr>
          <w:sz w:val="22"/>
          <w:szCs w:val="22"/>
        </w:rPr>
        <w:t xml:space="preserve">első helyen. </w:t>
      </w:r>
      <w:r w:rsidR="00B95684" w:rsidRPr="00383B98">
        <w:rPr>
          <w:sz w:val="22"/>
          <w:szCs w:val="22"/>
        </w:rPr>
        <w:t xml:space="preserve">Az </w:t>
      </w:r>
      <w:r w:rsidR="00B95684" w:rsidRPr="00383B98">
        <w:rPr>
          <w:b/>
          <w:sz w:val="22"/>
          <w:szCs w:val="22"/>
        </w:rPr>
        <w:t>1. táblázat</w:t>
      </w:r>
      <w:r w:rsidR="00B95684" w:rsidRPr="00383B98">
        <w:rPr>
          <w:sz w:val="22"/>
          <w:szCs w:val="22"/>
        </w:rPr>
        <w:t xml:space="preserve"> adatai szerint a felvételi pontszám </w:t>
      </w:r>
      <w:r w:rsidR="004A1D7A">
        <w:rPr>
          <w:sz w:val="22"/>
          <w:szCs w:val="22"/>
        </w:rPr>
        <w:t xml:space="preserve">a korábbi évhez képest </w:t>
      </w:r>
      <w:r w:rsidR="005A0FCB">
        <w:rPr>
          <w:sz w:val="22"/>
          <w:szCs w:val="22"/>
        </w:rPr>
        <w:t>jelentősen nőt</w:t>
      </w:r>
      <w:r w:rsidR="004A1D7A">
        <w:rPr>
          <w:sz w:val="22"/>
          <w:szCs w:val="22"/>
        </w:rPr>
        <w:t xml:space="preserve">, </w:t>
      </w:r>
      <w:r w:rsidR="00B95684" w:rsidRPr="00383B98">
        <w:rPr>
          <w:sz w:val="22"/>
          <w:szCs w:val="22"/>
        </w:rPr>
        <w:t xml:space="preserve">a felvettek száma </w:t>
      </w:r>
      <w:r w:rsidR="004A1D7A">
        <w:rPr>
          <w:sz w:val="22"/>
          <w:szCs w:val="22"/>
        </w:rPr>
        <w:t xml:space="preserve">pedig </w:t>
      </w:r>
      <w:r w:rsidR="005A0FCB">
        <w:rPr>
          <w:sz w:val="22"/>
          <w:szCs w:val="22"/>
        </w:rPr>
        <w:t>stagnált</w:t>
      </w:r>
      <w:r w:rsidR="00B95684" w:rsidRPr="00383B98">
        <w:rPr>
          <w:sz w:val="22"/>
          <w:szCs w:val="22"/>
        </w:rPr>
        <w:t xml:space="preserve">. </w:t>
      </w:r>
    </w:p>
    <w:p w:rsidR="00ED4B17" w:rsidRPr="00383B98" w:rsidRDefault="008D2340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>A</w:t>
      </w:r>
      <w:r w:rsidR="001403A6" w:rsidRPr="00383B98">
        <w:rPr>
          <w:sz w:val="22"/>
          <w:szCs w:val="22"/>
        </w:rPr>
        <w:t xml:space="preserve"> környezetmérnök </w:t>
      </w:r>
      <w:r w:rsidR="001851FF" w:rsidRPr="00383B98">
        <w:rPr>
          <w:sz w:val="22"/>
          <w:szCs w:val="22"/>
        </w:rPr>
        <w:t>M.</w:t>
      </w:r>
      <w:r w:rsidR="000F39CB" w:rsidRPr="00383B98">
        <w:rPr>
          <w:sz w:val="22"/>
          <w:szCs w:val="22"/>
        </w:rPr>
        <w:t xml:space="preserve">Sc. szak 2007-es indítása óta </w:t>
      </w:r>
      <w:r w:rsidR="000B19E4" w:rsidRPr="00383B98">
        <w:rPr>
          <w:sz w:val="22"/>
          <w:szCs w:val="22"/>
        </w:rPr>
        <w:t>átmeneti</w:t>
      </w:r>
      <w:r w:rsidR="000F39CB" w:rsidRPr="00383B98">
        <w:rPr>
          <w:sz w:val="22"/>
          <w:szCs w:val="22"/>
        </w:rPr>
        <w:t xml:space="preserve"> csökkenést követően </w:t>
      </w:r>
      <w:r w:rsidR="004A1D7A">
        <w:rPr>
          <w:sz w:val="22"/>
          <w:szCs w:val="22"/>
        </w:rPr>
        <w:t>kb 20-as létszámon stagnál</w:t>
      </w:r>
      <w:r w:rsidR="000F39CB" w:rsidRPr="00383B98">
        <w:rPr>
          <w:sz w:val="22"/>
          <w:szCs w:val="22"/>
        </w:rPr>
        <w:t xml:space="preserve">. </w:t>
      </w:r>
    </w:p>
    <w:p w:rsidR="002E79C9" w:rsidRPr="00383B98" w:rsidRDefault="002E79C9" w:rsidP="001C59FD">
      <w:pPr>
        <w:spacing w:before="120" w:after="120"/>
        <w:ind w:firstLine="708"/>
        <w:jc w:val="both"/>
        <w:rPr>
          <w:sz w:val="22"/>
          <w:szCs w:val="22"/>
        </w:rPr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9"/>
        <w:gridCol w:w="879"/>
        <w:gridCol w:w="879"/>
        <w:gridCol w:w="879"/>
        <w:gridCol w:w="879"/>
        <w:gridCol w:w="879"/>
        <w:gridCol w:w="879"/>
        <w:gridCol w:w="1900"/>
      </w:tblGrid>
      <w:tr w:rsidR="00E3403E" w:rsidRPr="000B254B" w:rsidTr="00E3403E">
        <w:trPr>
          <w:trHeight w:val="810"/>
        </w:trPr>
        <w:tc>
          <w:tcPr>
            <w:tcW w:w="1418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  <w:p w:rsidR="00E3403E" w:rsidRPr="0095016C" w:rsidRDefault="00E3403E" w:rsidP="00E3403E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E3403E" w:rsidRPr="0095016C" w:rsidRDefault="00E3403E" w:rsidP="00E3403E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E3403E" w:rsidRPr="0095016C" w:rsidRDefault="00E3403E" w:rsidP="00E3403E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  <w:p w:rsidR="00E3403E" w:rsidRPr="0095016C" w:rsidRDefault="00E3403E" w:rsidP="00E3403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:rsidR="00E3403E" w:rsidRPr="0095016C" w:rsidRDefault="00E3403E" w:rsidP="00E3403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</w:t>
            </w:r>
          </w:p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  <w:p w:rsidR="00E3403E" w:rsidRDefault="00E3403E" w:rsidP="00E340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</w:tr>
      <w:tr w:rsidR="00E3403E" w:rsidRPr="000B254B" w:rsidTr="00E3403E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E3403E" w:rsidRPr="003279A6" w:rsidRDefault="00E3403E" w:rsidP="00E3403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Összes jelent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kezők száma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217/64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197/26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111/39/36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135/38/ 20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99/73/23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</w:t>
            </w:r>
            <w:r w:rsidR="00C919D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/</w:t>
            </w:r>
            <w:r w:rsidR="00334905">
              <w:rPr>
                <w:sz w:val="22"/>
                <w:szCs w:val="22"/>
              </w:rPr>
              <w:t>36</w:t>
            </w:r>
          </w:p>
        </w:tc>
      </w:tr>
      <w:tr w:rsidR="00E3403E" w:rsidRPr="000B254B" w:rsidTr="00E3403E">
        <w:tc>
          <w:tcPr>
            <w:tcW w:w="1418" w:type="dxa"/>
            <w:tcBorders>
              <w:left w:val="single" w:sz="18" w:space="0" w:color="auto"/>
            </w:tcBorders>
          </w:tcPr>
          <w:p w:rsidR="00E3403E" w:rsidRPr="003279A6" w:rsidRDefault="00E3403E" w:rsidP="00E3403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9A6">
              <w:rPr>
                <w:b/>
                <w:bCs/>
                <w:sz w:val="20"/>
                <w:szCs w:val="20"/>
              </w:rPr>
              <w:t>jelentkezők száma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22/20/ 10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26/20/5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23/48/15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</w:t>
            </w:r>
            <w:r w:rsidR="0033490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/</w:t>
            </w:r>
            <w:r w:rsidR="00334905">
              <w:rPr>
                <w:sz w:val="22"/>
                <w:szCs w:val="22"/>
              </w:rPr>
              <w:t>22</w:t>
            </w:r>
          </w:p>
        </w:tc>
      </w:tr>
      <w:tr w:rsidR="00E3403E" w:rsidRPr="000B254B" w:rsidTr="00E3403E">
        <w:tc>
          <w:tcPr>
            <w:tcW w:w="1418" w:type="dxa"/>
            <w:tcBorders>
              <w:left w:val="single" w:sz="18" w:space="0" w:color="auto"/>
            </w:tcBorders>
          </w:tcPr>
          <w:p w:rsidR="00E3403E" w:rsidRPr="003279A6" w:rsidRDefault="00E3403E" w:rsidP="00E3403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214/67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280/82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248/80/71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248/78/72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260/74/72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</w:t>
            </w:r>
            <w:r w:rsidR="0033490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/7</w:t>
            </w:r>
            <w:r w:rsidR="00334905">
              <w:rPr>
                <w:sz w:val="22"/>
                <w:szCs w:val="22"/>
              </w:rPr>
              <w:t>4</w:t>
            </w:r>
          </w:p>
        </w:tc>
      </w:tr>
      <w:tr w:rsidR="00E3403E" w:rsidRPr="000B254B" w:rsidTr="00E3403E">
        <w:tc>
          <w:tcPr>
            <w:tcW w:w="1418" w:type="dxa"/>
            <w:tcBorders>
              <w:left w:val="single" w:sz="18" w:space="0" w:color="auto"/>
            </w:tcBorders>
          </w:tcPr>
          <w:p w:rsidR="00E3403E" w:rsidRPr="003279A6" w:rsidRDefault="00E3403E" w:rsidP="00E3403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Átlag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pontszám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218/76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328/83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362/92/82</w:t>
            </w:r>
          </w:p>
        </w:tc>
        <w:tc>
          <w:tcPr>
            <w:tcW w:w="879" w:type="dxa"/>
          </w:tcPr>
          <w:p w:rsidR="00E3403E" w:rsidRPr="000B254B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354/85/83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327/-/-</w:t>
            </w: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3403E" w:rsidRPr="000B254B" w:rsidTr="00E3403E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E3403E" w:rsidRPr="003279A6" w:rsidRDefault="00E3403E" w:rsidP="00E3403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53/21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52/6+2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Pr="000B254B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18/9/9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26/14/ 10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23/4/16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16/13/8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403E" w:rsidRDefault="00E3403E" w:rsidP="00E340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33490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</w:t>
            </w:r>
            <w:r w:rsidR="00334905">
              <w:rPr>
                <w:sz w:val="22"/>
                <w:szCs w:val="22"/>
              </w:rPr>
              <w:t>15</w:t>
            </w:r>
          </w:p>
        </w:tc>
      </w:tr>
    </w:tbl>
    <w:p w:rsidR="001403A6" w:rsidRPr="001403A6" w:rsidRDefault="005246ED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10" w:name="_Toc116306116"/>
      <w:bookmarkStart w:id="11" w:name="_Toc116306166"/>
      <w:r w:rsidR="00F652D1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10"/>
      <w:bookmarkEnd w:id="11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14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EE0094">
      <w:pPr>
        <w:jc w:val="center"/>
        <w:rPr>
          <w:highlight w:val="yellow"/>
        </w:rPr>
      </w:pPr>
      <w:r w:rsidRPr="008019C3">
        <w:rPr>
          <w:noProof/>
          <w:sz w:val="18"/>
          <w:szCs w:val="18"/>
        </w:rPr>
        <w:drawing>
          <wp:inline distT="0" distB="0" distL="0" distR="0" wp14:anchorId="472D1EE3" wp14:editId="28DDBA18">
            <wp:extent cx="5771515" cy="293941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r w:rsidRPr="004633E6">
        <w:rPr>
          <w:b w:val="0"/>
        </w:rPr>
        <w:t xml:space="preserve">A környezetmérnöki </w:t>
      </w:r>
      <w:r w:rsidR="007E409E">
        <w:rPr>
          <w:b w:val="0"/>
        </w:rPr>
        <w:t xml:space="preserve">B.Sc. </w:t>
      </w:r>
      <w:r w:rsidRPr="004633E6">
        <w:rPr>
          <w:b w:val="0"/>
        </w:rPr>
        <w:t xml:space="preserve">szakra </w:t>
      </w:r>
      <w:r w:rsidR="00F42DC1">
        <w:rPr>
          <w:b w:val="0"/>
        </w:rPr>
        <w:t>felvette</w:t>
      </w:r>
      <w:r w:rsidRPr="004633E6">
        <w:rPr>
          <w:b w:val="0"/>
        </w:rPr>
        <w:t>k 200</w:t>
      </w:r>
      <w:r w:rsidR="007E409E">
        <w:rPr>
          <w:b w:val="0"/>
        </w:rPr>
        <w:t>5</w:t>
      </w:r>
      <w:r w:rsidRPr="004633E6">
        <w:rPr>
          <w:b w:val="0"/>
        </w:rPr>
        <w:t>-től</w:t>
      </w:r>
    </w:p>
    <w:p w:rsidR="007E409E" w:rsidRDefault="00EE0094" w:rsidP="007E409E">
      <w:pPr>
        <w:jc w:val="center"/>
      </w:pPr>
      <w:r w:rsidRPr="00784AFC">
        <w:rPr>
          <w:noProof/>
        </w:rPr>
        <w:lastRenderedPageBreak/>
        <w:drawing>
          <wp:inline distT="0" distB="0" distL="0" distR="0" wp14:anchorId="6CE1EEA8" wp14:editId="0B75C6A1">
            <wp:extent cx="5558155" cy="3482975"/>
            <wp:effectExtent l="0" t="0" r="4445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r w:rsidR="007E409E" w:rsidRPr="00106330">
        <w:rPr>
          <w:b w:val="0"/>
        </w:rPr>
        <w:t xml:space="preserve">A környezetmérnöki mesterszakra </w:t>
      </w:r>
      <w:r w:rsidR="00F42DC1">
        <w:rPr>
          <w:b w:val="0"/>
        </w:rPr>
        <w:t>felvett</w:t>
      </w:r>
      <w:r w:rsidR="007E409E" w:rsidRPr="00106330">
        <w:rPr>
          <w:b w:val="0"/>
        </w:rPr>
        <w:t xml:space="preserve"> hallgatók aránya 2007-től</w:t>
      </w:r>
      <w:r w:rsidR="007E409E">
        <w:rPr>
          <w:b w:val="0"/>
        </w:rPr>
        <w:br/>
        <w:t>(a keresztféléves és az általános felvételi eljárások adatai)</w:t>
      </w:r>
    </w:p>
    <w:p w:rsidR="001B4FDD" w:rsidRPr="007D128D" w:rsidRDefault="001B4FDD" w:rsidP="00771C6F">
      <w:pPr>
        <w:jc w:val="both"/>
      </w:pPr>
    </w:p>
    <w:p w:rsidR="00F42DC1" w:rsidRDefault="00F42DC1" w:rsidP="00771C6F">
      <w:pPr>
        <w:jc w:val="both"/>
      </w:pPr>
      <w:r>
        <w:t xml:space="preserve">Környezetmérnöki alapszakon a felvételi ponthatár </w:t>
      </w:r>
      <w:r w:rsidR="00EE0094">
        <w:t xml:space="preserve">további </w:t>
      </w:r>
      <w:r>
        <w:t>emelkedésével 248→2</w:t>
      </w:r>
      <w:r w:rsidR="00EE0094">
        <w:t>95</w:t>
      </w:r>
      <w:r>
        <w:t xml:space="preserve">, a felvett hallgatók létszáma </w:t>
      </w:r>
      <w:r w:rsidR="00EE0094">
        <w:t xml:space="preserve">tovább </w:t>
      </w:r>
      <w:r>
        <w:t>csökkent</w:t>
      </w:r>
      <w:r w:rsidR="00E312EE">
        <w:t xml:space="preserve"> </w:t>
      </w:r>
      <w:r w:rsidR="00EE0094">
        <w:t>16</w:t>
      </w:r>
      <w:r w:rsidR="00E312EE">
        <w:t>→1</w:t>
      </w:r>
      <w:r w:rsidR="00EE0094">
        <w:t>2</w:t>
      </w:r>
      <w:r w:rsidR="00E312EE">
        <w:t xml:space="preserve">. Ezzel szemben a mester szakon a ponthatár </w:t>
      </w:r>
      <w:r w:rsidR="00EE0094">
        <w:t>állandósulása</w:t>
      </w:r>
      <w:r w:rsidR="00904645">
        <w:t xml:space="preserve"> </w:t>
      </w:r>
      <w:r w:rsidR="00E312EE">
        <w:t xml:space="preserve">mellett </w:t>
      </w:r>
      <w:r w:rsidR="00EE0094">
        <w:t>(7</w:t>
      </w:r>
      <w:r w:rsidR="00904645">
        <w:t>4</w:t>
      </w:r>
      <w:r w:rsidR="00EE0094">
        <w:t>)</w:t>
      </w:r>
      <w:r w:rsidR="00E312EE">
        <w:t xml:space="preserve"> </w:t>
      </w:r>
      <w:r w:rsidR="00904645">
        <w:t xml:space="preserve">nőtt </w:t>
      </w:r>
      <w:r w:rsidR="00E312EE">
        <w:t>a bel</w:t>
      </w:r>
      <w:r w:rsidR="007066E5">
        <w:t>é</w:t>
      </w:r>
      <w:r w:rsidR="00E312EE">
        <w:t>p</w:t>
      </w:r>
      <w:r w:rsidR="007066E5">
        <w:t>ő</w:t>
      </w:r>
      <w:r w:rsidR="00E312EE">
        <w:t xml:space="preserve">k létszáma is </w:t>
      </w:r>
      <w:r w:rsidR="00904645">
        <w:t>2</w:t>
      </w:r>
      <w:r w:rsidR="00EE0094">
        <w:t>1</w:t>
      </w:r>
      <w:r w:rsidR="00E312EE">
        <w:t>→</w:t>
      </w:r>
      <w:r w:rsidR="00EE0094">
        <w:t>40</w:t>
      </w:r>
      <w:r w:rsidR="00E312EE">
        <w:t>.</w:t>
      </w:r>
      <w:r w:rsidR="007066E5">
        <w:t xml:space="preserve"> (</w:t>
      </w:r>
      <w:r w:rsidR="007066E5">
        <w:rPr>
          <w:b/>
        </w:rPr>
        <w:t>1</w:t>
      </w:r>
      <w:r w:rsidR="007066E5" w:rsidRPr="007066E5">
        <w:rPr>
          <w:b/>
        </w:rPr>
        <w:t>. ábra</w:t>
      </w:r>
      <w:r w:rsidR="007066E5">
        <w:t xml:space="preserve">, </w:t>
      </w:r>
      <w:r w:rsidR="007066E5">
        <w:rPr>
          <w:b/>
        </w:rPr>
        <w:t>2</w:t>
      </w:r>
      <w:r w:rsidR="007066E5" w:rsidRPr="007066E5">
        <w:rPr>
          <w:b/>
        </w:rPr>
        <w:t>. ábra</w:t>
      </w:r>
      <w:r w:rsidR="007066E5">
        <w:t>)</w:t>
      </w:r>
    </w:p>
    <w:p w:rsidR="007E409E" w:rsidRDefault="007E409E" w:rsidP="007D128D">
      <w:pPr>
        <w:spacing w:before="80" w:after="80"/>
        <w:jc w:val="both"/>
      </w:pPr>
    </w:p>
    <w:p w:rsidR="00320841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</w:t>
      </w:r>
      <w:r w:rsidR="00320841">
        <w:t>alapvetően a Dunántúlra koncentrálódik. 201</w:t>
      </w:r>
      <w:r w:rsidR="00EE0094">
        <w:t>5</w:t>
      </w:r>
      <w:r w:rsidR="00320841">
        <w:t xml:space="preserve">-ban </w:t>
      </w:r>
      <w:r w:rsidR="00EE0094">
        <w:t>tovább koncentrálódott</w:t>
      </w:r>
      <w:r w:rsidR="00320841">
        <w:t xml:space="preserve"> a felvettek lakhely szerinti megoszlása, Veszprém megye mellett Fejér, Pest és Somogy megyéből is nagyobb arányban érkeznek hallgatók</w:t>
      </w:r>
    </w:p>
    <w:p w:rsidR="00092564" w:rsidRPr="00E901FF" w:rsidRDefault="00230C14" w:rsidP="000C35F1">
      <w:pPr>
        <w:jc w:val="both"/>
      </w:pPr>
      <w:r w:rsidRPr="00E901FF">
        <w:t>A korábbi évek beiskolázás</w:t>
      </w:r>
      <w:r w:rsidR="00D35D1B" w:rsidRPr="00E901FF">
        <w:t>ai</w:t>
      </w:r>
      <w:r w:rsidRPr="00E901FF">
        <w:t xml:space="preserve">t összehasonlítva látható </w:t>
      </w:r>
      <w:r w:rsidR="00D35D1B" w:rsidRPr="00E901FF">
        <w:t>a</w:t>
      </w:r>
      <w:r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7D128D" w:rsidRPr="007D128D" w:rsidRDefault="00C70014" w:rsidP="000C35F1">
      <w:pPr>
        <w:jc w:val="both"/>
      </w:pPr>
      <w:r>
        <w:t>Ma már a</w:t>
      </w:r>
      <w:r w:rsidR="007D128D">
        <w:t xml:space="preserve">z adatok és a tendenciák </w:t>
      </w:r>
      <w:r>
        <w:t xml:space="preserve">nem erősítik </w:t>
      </w:r>
      <w:r w:rsidR="007D128D">
        <w:t>azt a feltételezést, hogy a lakhely szerinti legközelebbi képzési helyet választják a fiatalok</w:t>
      </w:r>
      <w:r>
        <w:t>. Ugyanakkor t</w:t>
      </w:r>
      <w:r w:rsidR="007D128D">
        <w:t>ovább</w:t>
      </w:r>
      <w:r>
        <w:t>ra is elmondható, hogy</w:t>
      </w:r>
      <w:r w:rsidR="007D128D">
        <w:t xml:space="preserve">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918"/>
        <w:gridCol w:w="919"/>
        <w:gridCol w:w="918"/>
        <w:gridCol w:w="906"/>
        <w:gridCol w:w="907"/>
        <w:gridCol w:w="801"/>
        <w:gridCol w:w="801"/>
        <w:gridCol w:w="801"/>
      </w:tblGrid>
      <w:tr w:rsidR="00EE0094" w:rsidRPr="00E06483" w:rsidTr="00EE0094"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Megye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2012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2013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2014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2015</w:t>
            </w:r>
          </w:p>
        </w:tc>
      </w:tr>
      <w:tr w:rsidR="00EE0094" w:rsidRPr="00E06483" w:rsidTr="00EE0094">
        <w:tc>
          <w:tcPr>
            <w:tcW w:w="2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22,6%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5,7%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15,1%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26,4%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33%</w:t>
            </w: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</w:tr>
      <w:tr w:rsidR="00EE0094" w:rsidRPr="00E06483" w:rsidTr="00EE0094">
        <w:tc>
          <w:tcPr>
            <w:tcW w:w="23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E06483" w:rsidRDefault="00EE0094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FB0CF6" w:rsidRDefault="00EE0094" w:rsidP="00EE0094">
            <w:pPr>
              <w:jc w:val="center"/>
            </w:pPr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FB0CF6" w:rsidRDefault="00EE0094" w:rsidP="00EE0094">
            <w:pPr>
              <w:jc w:val="center"/>
            </w:pPr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Pr="00FB0CF6" w:rsidRDefault="00EE0094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094" w:rsidRDefault="00EE0094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</w:tbl>
    <w:p w:rsidR="000C37BE" w:rsidRDefault="00062590" w:rsidP="00D2009D">
      <w:pPr>
        <w:jc w:val="center"/>
      </w:pPr>
      <w:r w:rsidRPr="00D2009D">
        <w:rPr>
          <w:b/>
        </w:rPr>
        <w:t>2</w:t>
      </w:r>
      <w:r w:rsidR="000C37BE" w:rsidRPr="00D2009D">
        <w:rPr>
          <w:b/>
        </w:rPr>
        <w:t xml:space="preserve">. </w:t>
      </w:r>
      <w:r w:rsidR="00CC3403" w:rsidRPr="00D2009D">
        <w:rPr>
          <w:b/>
        </w:rPr>
        <w:t>t</w:t>
      </w:r>
      <w:r w:rsidR="000C37BE" w:rsidRPr="00D2009D">
        <w:rPr>
          <w:b/>
        </w:rPr>
        <w:t>áblázat</w:t>
      </w:r>
      <w:r w:rsidR="000C37BE" w:rsidRPr="00A853BE">
        <w:t>: A felvettek lakóhely szerinti területi megoszlása</w:t>
      </w:r>
    </w:p>
    <w:p w:rsidR="00085322" w:rsidRPr="00085322" w:rsidRDefault="00085322" w:rsidP="00085322"/>
    <w:p w:rsidR="007E409E" w:rsidRDefault="00EE0094" w:rsidP="009A5392">
      <w:pPr>
        <w:jc w:val="center"/>
      </w:pPr>
      <w:r>
        <w:rPr>
          <w:noProof/>
        </w:rPr>
        <w:drawing>
          <wp:inline distT="0" distB="0" distL="0" distR="0" wp14:anchorId="64EA0228" wp14:editId="7C27EF2A">
            <wp:extent cx="4881880" cy="3371215"/>
            <wp:effectExtent l="0" t="0" r="0" b="635"/>
            <wp:docPr id="3" name="Kép 3" descr="MK-KM-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K-KM-B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9D" w:rsidRDefault="00694AAB" w:rsidP="00D2009D">
      <w:pPr>
        <w:jc w:val="center"/>
      </w:pPr>
      <w:r w:rsidRPr="00F478FC">
        <w:rPr>
          <w:b/>
        </w:rPr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1B374E" w:rsidRDefault="00254693" w:rsidP="00821BD3">
      <w:pPr>
        <w:jc w:val="both"/>
      </w:pPr>
      <w:r>
        <w:t xml:space="preserve">Bár </w:t>
      </w:r>
      <w:r w:rsidR="001B374E">
        <w:t xml:space="preserve">az idei évre nem áll rendelkezésre a felvett </w:t>
      </w:r>
      <w:r w:rsidR="00821BD3" w:rsidRPr="00B10445">
        <w:t xml:space="preserve">MSc. </w:t>
      </w:r>
      <w:r w:rsidR="001B374E">
        <w:t>hallgatók lakhely szerinti megoszlása, az a hallgatókkal történő beszélgetések alapján elmondható, hogy igen szélsőséges a területi megoszlás.</w:t>
      </w:r>
    </w:p>
    <w:p w:rsidR="001B374E" w:rsidRDefault="001B374E" w:rsidP="00821BD3">
      <w:pPr>
        <w:jc w:val="both"/>
      </w:pPr>
      <w:r>
        <w:t xml:space="preserve">A </w:t>
      </w:r>
      <w:r w:rsidRPr="00F478FC">
        <w:rPr>
          <w:b/>
        </w:rPr>
        <w:t>3. táblázat</w:t>
      </w:r>
      <w:r>
        <w:t xml:space="preserve"> a korábbi adatokat tartalmazza.</w:t>
      </w:r>
    </w:p>
    <w:p w:rsidR="00444A7C" w:rsidRDefault="00444A7C" w:rsidP="00D2009D"/>
    <w:p w:rsidR="00746DCB" w:rsidRDefault="00561560" w:rsidP="009F2D51">
      <w:pPr>
        <w:jc w:val="both"/>
      </w:pPr>
      <w:r w:rsidRPr="00E901FF">
        <w:rPr>
          <w:bCs/>
        </w:rPr>
        <w:t xml:space="preserve">Országos viszonylatban mozgásterünket jól érzékelteti a </w:t>
      </w:r>
      <w:r w:rsidR="00431193">
        <w:rPr>
          <w:b/>
          <w:bCs/>
        </w:rPr>
        <w:t>3</w:t>
      </w:r>
      <w:r w:rsidRPr="009F2D51">
        <w:rPr>
          <w:b/>
          <w:bCs/>
        </w:rPr>
        <w:t xml:space="preserve">. </w:t>
      </w:r>
      <w:r w:rsidR="00444A7C" w:rsidRPr="009F2D51">
        <w:rPr>
          <w:b/>
          <w:bCs/>
        </w:rPr>
        <w:t>t</w:t>
      </w:r>
      <w:r w:rsidRPr="009F2D51">
        <w:rPr>
          <w:b/>
          <w:bCs/>
        </w:rPr>
        <w:t xml:space="preserve">áblázat </w:t>
      </w:r>
      <w:r w:rsidR="000F39CB" w:rsidRPr="00E901FF">
        <w:t xml:space="preserve">11 intézmény </w:t>
      </w:r>
      <w:r w:rsidRPr="00E901FF">
        <w:t>közül 201</w:t>
      </w:r>
      <w:r w:rsidR="001A1CCC">
        <w:t>6</w:t>
      </w:r>
      <w:r w:rsidR="00D2009D">
        <w:t>-ba</w:t>
      </w:r>
      <w:r w:rsidRPr="00E901FF">
        <w:t xml:space="preserve">n </w:t>
      </w:r>
      <w:r w:rsidR="00D2009D">
        <w:t xml:space="preserve">a hallgatók </w:t>
      </w:r>
      <w:r w:rsidR="001A1CCC">
        <w:t>50</w:t>
      </w:r>
      <w:r w:rsidR="00D2009D">
        <w:t>%-át elvitte a</w:t>
      </w:r>
      <w:r w:rsidR="001A1CCC">
        <w:t xml:space="preserve"> két budapesti egyetem, a</w:t>
      </w:r>
      <w:r w:rsidR="00D2009D">
        <w:t xml:space="preserve"> BME és az OE</w:t>
      </w:r>
      <w:r w:rsidR="009F2D51">
        <w:t xml:space="preserve">. </w:t>
      </w:r>
      <w:r w:rsidR="005F3638" w:rsidRPr="00E901FF">
        <w:t>A PE</w:t>
      </w:r>
      <w:r w:rsidR="00965138" w:rsidRPr="00E901FF">
        <w:t xml:space="preserve"> </w:t>
      </w:r>
      <w:r w:rsidR="00D26AC2" w:rsidRPr="00E901FF">
        <w:t>a</w:t>
      </w:r>
      <w:r w:rsidR="00C81A57" w:rsidRPr="00E901FF">
        <w:t xml:space="preserve"> </w:t>
      </w:r>
      <w:r w:rsidR="001A1CCC">
        <w:t>18</w:t>
      </w:r>
      <w:r w:rsidR="005F3638" w:rsidRPr="00E901FF">
        <w:t xml:space="preserve"> </w:t>
      </w:r>
      <w:r w:rsidR="000F39CB" w:rsidRPr="00E901FF">
        <w:t xml:space="preserve">felvett jelentkezővel a középmezőny </w:t>
      </w:r>
      <w:r w:rsidR="001A1CCC">
        <w:t>tetején</w:t>
      </w:r>
      <w:r w:rsidR="000F39CB" w:rsidRPr="00E901FF">
        <w:t xml:space="preserve"> foglal helyet. Ponthatár tekintetében </w:t>
      </w:r>
      <w:r w:rsidR="00746DCB" w:rsidRPr="00E901FF">
        <w:t>a BME 3</w:t>
      </w:r>
      <w:r w:rsidR="001A1CCC">
        <w:t>43</w:t>
      </w:r>
      <w:r w:rsidR="009F2D51">
        <w:t xml:space="preserve"> </w:t>
      </w:r>
      <w:r w:rsidR="001A1CCC">
        <w:t xml:space="preserve">pont </w:t>
      </w:r>
      <w:r w:rsidR="00746DCB" w:rsidRPr="00E901FF">
        <w:t>értéken vette fel hallgatóit</w:t>
      </w:r>
      <w:r w:rsidR="001A1CCC">
        <w:t>, a PE 296 pontjával a középső részen helyezkedik el</w:t>
      </w:r>
      <w:r w:rsidR="00746DCB" w:rsidRPr="00E901FF">
        <w:t>.</w:t>
      </w:r>
    </w:p>
    <w:p w:rsidR="002B5E36" w:rsidRDefault="002B5E36" w:rsidP="00965138">
      <w:pPr>
        <w:jc w:val="both"/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875"/>
        <w:gridCol w:w="543"/>
      </w:tblGrid>
      <w:tr w:rsidR="00C70014" w:rsidRPr="00003947" w:rsidTr="00431193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014" w:rsidRPr="00003947" w:rsidRDefault="00C70014" w:rsidP="002116C0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431193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</w:t>
            </w:r>
            <w:r w:rsidR="00431193">
              <w:rPr>
                <w:b/>
                <w:sz w:val="16"/>
                <w:szCs w:val="16"/>
              </w:rPr>
              <w:t>1</w:t>
            </w:r>
            <w:r w:rsidR="001A1CCC">
              <w:rPr>
                <w:b/>
                <w:sz w:val="16"/>
                <w:szCs w:val="16"/>
              </w:rPr>
              <w:t>1</w:t>
            </w:r>
            <w:r w:rsidRPr="006C56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</w:t>
            </w:r>
            <w:r w:rsidR="001A1CCC">
              <w:rPr>
                <w:b/>
                <w:sz w:val="16"/>
                <w:szCs w:val="16"/>
              </w:rPr>
              <w:t>012</w:t>
            </w:r>
            <w:r w:rsidRPr="006C56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431193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1A1CC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1A1CCC">
              <w:rPr>
                <w:b/>
                <w:sz w:val="16"/>
                <w:szCs w:val="16"/>
              </w:rPr>
              <w:t>4</w:t>
            </w:r>
            <w:r w:rsidR="0043119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014" w:rsidRDefault="001A1CCC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2016*</w:t>
            </w:r>
            <w:r w:rsidR="00431193">
              <w:rPr>
                <w:b/>
                <w:sz w:val="16"/>
                <w:szCs w:val="16"/>
              </w:rPr>
              <w:t>.</w:t>
            </w:r>
          </w:p>
        </w:tc>
      </w:tr>
      <w:tr w:rsidR="00C70014" w:rsidRPr="00003947" w:rsidTr="00431193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14" w:rsidRPr="00003947" w:rsidRDefault="00C70014" w:rsidP="002116C0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ind w:left="-69" w:right="-137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</w:t>
            </w:r>
            <w:r>
              <w:rPr>
                <w:sz w:val="16"/>
                <w:szCs w:val="16"/>
              </w:rPr>
              <w:br/>
            </w:r>
            <w:r w:rsidRPr="006C566A">
              <w:rPr>
                <w:sz w:val="16"/>
                <w:szCs w:val="16"/>
              </w:rPr>
              <w:t>határ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D62130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C70014">
              <w:rPr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337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37%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1A1CCC" w:rsidRPr="00D62130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1F3786" w:rsidRDefault="001A1CCC" w:rsidP="001A1CCC">
            <w:pPr>
              <w:jc w:val="center"/>
              <w:rPr>
                <w:sz w:val="18"/>
                <w:szCs w:val="18"/>
              </w:rPr>
            </w:pPr>
            <w:r w:rsidRPr="008019C3">
              <w:rPr>
                <w:sz w:val="18"/>
                <w:szCs w:val="18"/>
              </w:rPr>
              <w:t>61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29%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343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285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1%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300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282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273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3%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293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</w:t>
            </w:r>
            <w:r w:rsidRPr="00003947">
              <w:rPr>
                <w:sz w:val="20"/>
                <w:szCs w:val="20"/>
              </w:rPr>
              <w:t>-RKK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43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20%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280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A1CCC" w:rsidRPr="00694AAB" w:rsidRDefault="001A1CCC" w:rsidP="001A1CCC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009D"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1A1CCC" w:rsidRPr="006C566A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1A1CCC" w:rsidRPr="006A29FD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1CCC" w:rsidRPr="006A29FD" w:rsidRDefault="001A1CCC" w:rsidP="001A1C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1A1CCC" w:rsidRPr="006A29FD" w:rsidRDefault="001A1CCC" w:rsidP="001A1CCC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8%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296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4%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296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3%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320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9%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282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A1CCC" w:rsidRPr="006C566A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8F57DD" w:rsidRDefault="001A1CCC" w:rsidP="001A1C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8F57DD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CC" w:rsidRPr="00827680" w:rsidRDefault="001A1CCC" w:rsidP="001A1CCC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22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10%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1A1CCC" w:rsidRPr="001A1CCC" w:rsidRDefault="001A1CCC" w:rsidP="001A1CCC">
            <w:pPr>
              <w:jc w:val="center"/>
              <w:rPr>
                <w:sz w:val="18"/>
                <w:szCs w:val="18"/>
              </w:rPr>
            </w:pPr>
            <w:r w:rsidRPr="001A1CCC">
              <w:rPr>
                <w:sz w:val="18"/>
                <w:szCs w:val="18"/>
              </w:rPr>
              <w:t>281</w:t>
            </w:r>
          </w:p>
        </w:tc>
      </w:tr>
      <w:tr w:rsidR="001A1CCC" w:rsidRPr="00003947" w:rsidTr="0026146F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CCC" w:rsidRPr="00003947" w:rsidRDefault="001A1CCC" w:rsidP="001A1CCC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2768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1CCC" w:rsidRPr="006C566A" w:rsidRDefault="001A1CCC" w:rsidP="001A1C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1619" w:rsidRDefault="001A1CCC" w:rsidP="003729AB">
      <w:pPr>
        <w:jc w:val="both"/>
      </w:pPr>
      <w:r w:rsidRPr="001A1CCC">
        <w:t>*A 2015. évi adatok nem állnak rendelkezésre.</w:t>
      </w:r>
    </w:p>
    <w:p w:rsidR="001A1CCC" w:rsidRPr="001A1CCC" w:rsidRDefault="001A1CCC" w:rsidP="003729AB">
      <w:pPr>
        <w:jc w:val="both"/>
      </w:pPr>
    </w:p>
    <w:p w:rsidR="00561560" w:rsidRPr="00561560" w:rsidRDefault="00431193" w:rsidP="00561560">
      <w:pPr>
        <w:jc w:val="center"/>
      </w:pPr>
      <w:r>
        <w:rPr>
          <w:b/>
        </w:rPr>
        <w:t>3</w:t>
      </w:r>
      <w:r w:rsidR="00561560" w:rsidRPr="00710A73">
        <w:rPr>
          <w:b/>
        </w:rPr>
        <w:t xml:space="preserve">. </w:t>
      </w:r>
      <w:r w:rsidR="00381619" w:rsidRPr="00710A73">
        <w:rPr>
          <w:b/>
        </w:rPr>
        <w:t>t</w:t>
      </w:r>
      <w:r w:rsidR="00561560" w:rsidRPr="00710A73">
        <w:rPr>
          <w:b/>
        </w:rPr>
        <w:t>áblázat</w:t>
      </w:r>
      <w:r w:rsidR="00561560"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6A29FD" w:rsidRDefault="00561560" w:rsidP="00140BFB">
      <w:pPr>
        <w:jc w:val="both"/>
      </w:pPr>
      <w:r>
        <w:t>A k</w:t>
      </w:r>
      <w:r w:rsidR="004633E6" w:rsidRPr="004633E6">
        <w:t>örnyezetmérnöki B.Sc. szakon folyamatosan csökken a felvettek létszáma</w:t>
      </w:r>
      <w:r w:rsidR="00827680">
        <w:t xml:space="preserve">, ami az ország környezetvédelem ellenes hozzáállását tükrözi. </w:t>
      </w:r>
      <w:r w:rsidR="006A29FD">
        <w:t xml:space="preserve">A budapesti egyetemek </w:t>
      </w:r>
      <w:r w:rsidR="009F2D51">
        <w:t xml:space="preserve">a </w:t>
      </w:r>
      <w:r w:rsidR="006A29FD">
        <w:t>beiskolázási létszám</w:t>
      </w:r>
      <w:r w:rsidR="009F2D51">
        <w:t xml:space="preserve"> több, mint felét </w:t>
      </w:r>
      <w:r w:rsidR="006A29FD">
        <w:t>elviszi.</w:t>
      </w:r>
    </w:p>
    <w:p w:rsidR="009F2D51" w:rsidRPr="000C37BE" w:rsidRDefault="00EA316E" w:rsidP="009F2D51">
      <w:pPr>
        <w:jc w:val="both"/>
      </w:pPr>
      <w:r w:rsidRPr="00A1520D">
        <w:t xml:space="preserve">A környezetmérnöki M.Sc. </w:t>
      </w:r>
      <w:r w:rsidR="009F2D51">
        <w:t>szak esetében nem áll rendelkezésre elégséges adatszolgáltatás ahhoz, hogy az alapszakhoz hasonló értékelést készítsünk. Nem áll rendelkezésre minden intézményre kitérő normál és keresztféléves, nappali és levelező megosztású hallgatói létszámadat.</w:t>
      </w:r>
    </w:p>
    <w:p w:rsidR="009D391B" w:rsidRPr="00AB1613" w:rsidRDefault="009D391B" w:rsidP="009D391B">
      <w:pPr>
        <w:pStyle w:val="0CM1"/>
      </w:pPr>
      <w:bookmarkStart w:id="12" w:name="_Toc289803135"/>
      <w:bookmarkStart w:id="13" w:name="_Toc481583929"/>
      <w:bookmarkStart w:id="14" w:name="_Toc116285537"/>
      <w:r w:rsidRPr="000017AD">
        <w:t>3. Tantárgyi teljesítések</w:t>
      </w:r>
      <w:bookmarkEnd w:id="12"/>
      <w:bookmarkEnd w:id="1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0"/>
        <w:gridCol w:w="1516"/>
        <w:gridCol w:w="705"/>
        <w:gridCol w:w="835"/>
        <w:gridCol w:w="853"/>
        <w:gridCol w:w="774"/>
        <w:gridCol w:w="527"/>
        <w:gridCol w:w="539"/>
        <w:gridCol w:w="844"/>
        <w:gridCol w:w="713"/>
      </w:tblGrid>
      <w:tr w:rsidR="008A4965" w:rsidRPr="008A4965" w:rsidTr="008A4965">
        <w:trPr>
          <w:trHeight w:val="300"/>
          <w:tblHeader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Tárgynév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Tárgy kód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felvette (fő)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Elégtelen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Elégséges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Közepes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Jó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Jeles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Teljesítés átlaga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>
            <w:pPr>
              <w:rPr>
                <w:b/>
                <w:bCs/>
                <w:sz w:val="16"/>
              </w:rPr>
            </w:pPr>
            <w:r w:rsidRPr="008A4965">
              <w:rPr>
                <w:b/>
                <w:bCs/>
                <w:sz w:val="16"/>
              </w:rPr>
              <w:t>Teljesí</w:t>
            </w:r>
            <w:r>
              <w:rPr>
                <w:b/>
                <w:bCs/>
                <w:sz w:val="16"/>
              </w:rPr>
              <w:t>-</w:t>
            </w:r>
            <w:r w:rsidRPr="008A4965">
              <w:rPr>
                <w:b/>
                <w:bCs/>
                <w:sz w:val="16"/>
              </w:rPr>
              <w:t>tési 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A közlekedés és mezőgazdasági környezet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VEMKKV3122H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A mikrobiológia alapjai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VEMKLIB112M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A világegyetem megismerésének története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VEMKFISV12K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Általános és szervetlen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VEMKAKB112B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Általános és szervetlen kémia gyakorlat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VEMKAKB122B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Általános és szervetlen kémia gyakorlat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VEMKIKB222B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Általános és szervetlen kémia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VEMKAKB233B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56%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Áramlás- és hőtechnikai gépek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VEMKGEB131A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2,75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Atomenergetika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VEMKRKSV12A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4,33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Balaton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VEMKLISV22B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Bevezetés a környezettanba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VEMKFTB112A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lastRenderedPageBreak/>
              <w:t>Bioanalízis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VEMKKAB143B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Biokémia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VEMKOKB112B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2,33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Biokémia laboratóriumi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VEMKOKB231K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Biokoordinációs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VEMKOKB212B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Biztonságtechnika és kockázatelemzés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VEMKKVM222B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Biztonságtechnika és kockázatelemzés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Biztonságtechnika, munkavédelem és kockázatelemzés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Botanika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VEMKLIB212B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3,14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71%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Dozimetria és sugárvédelem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VEMKRK4212D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Élelmiszer és háztartási anyagismeret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VEMKOKSV12B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92%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Életciklus-elemzés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VEMKKVM422E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Emberi erőforrás gazdálkodás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VEGTVEB214G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Energiagazdálkodás és környezetvédelem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VEMKKVT112E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Etika, protokoll, művelődés (nem csak műszakiaknak)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VEMKGES523E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Etika, protokoll, művelődés (nem csak műszakiaknak)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VEMKGES522E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 bevezető (fakultatív, felzárkóztató)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VEMKFI6122B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3,43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86%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VEMKFI1312A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1,69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 I.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VEMKFI1322A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VEMKFI1312B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1,89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 III.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VEMKFIM112F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91%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Fizikai kémia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VEMKFKB212A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2,73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Fizikai kémia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VEMKFKB312A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3,60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Fizikai kémia számítási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VEMKFKB322A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2,56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89%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Földtudományi alapismeretek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VEMKKVB122F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2,91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Földtudományi 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VEMKKVM122F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94%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Földünk állapota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VEMKKV1112F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Geofizika alapjai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VEMKKV2221G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Geofizika alapjai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VEMKKVB221G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Geoinformácós rendszerek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VEMKKVB254G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3,88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Gépelemek és ábrázolás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VEMKGEB113V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3,33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Gépészeti alapismeretek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VEMKGEB211K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Grafológia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VEMKOK5112G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Grafológia II.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VEMKOK5242G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Hidrogeológia, limnológia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VEMKLIB112H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Hidrológia, hidrogeológia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VEMKKV2143K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Honvédelmi alapismeretek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VEMTSV5300H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Hulladékgazdálkodás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VEMKKVB212H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Hulladékgazdálkodás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VEMKKVM412H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4,43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Hulladékgazdálkodás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VEMKKVT222H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Hulladékgazdálkodás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VEMKKVT232H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Hulladékszegény technológiák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lastRenderedPageBreak/>
              <w:t>Hulladékszegény technológiák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VEMKKVT122H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4,57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Infraindividuális biológia (Biológia)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VEMKLIB112B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1,44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INTERKULTURÁLIS KOMMUNIKÁCIÓ (NEMZETKÖZI MOBILITÁSRA FELKÉSZÍTŐ KURZUS)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VEPESV112K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Ipari technológiák és szennyezéseik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VEMKKVB114I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Ipari technológiák optimalizálása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VEMKKVM112O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Jogi ismeretek és környezetjog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VEMKKVM212J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Jogi ismeretek és környezetjog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VEMKKVM112J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4,88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Kémia felzárkóztató kurzus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VEMKAKB522F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1,73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55%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Kémiai analízis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VEMKKAB114A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1,71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64%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Kémiai analízis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VEMKKAB232A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Kockázatmenedzsment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VEMKME2312K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Kommunikációs 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VEMKKVM122K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4,93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Korszerű környezetanalitikai módszerek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VEMKKAB111K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Környezetállapot-értékelés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VEMKKVM144K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Környezetállapot-értékelés, auditálás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VEMKKVB114K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4,30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Környezetegészségtan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VEMKLIB112E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4,71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Környezetgazdálkodás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Környezetgazdaságtan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Környezetgazdaságtan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erőforrás gazdálkodás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VEMKKVM112E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VEMKKKB212K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VEMKAKM112N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2,63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94%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menedzsment rendszerek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méréstechnika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VEMKKAM112M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2,84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méréstechnika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VEMKKAM231M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monitorozás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VEMKKVB222K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 szerves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VEMKOKM112K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2,84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94%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Környezetinformatika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VEMKKVB132I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79%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Környezetinformatika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VEMKKVB232I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4,83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Környezetjogi 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VEMKKVB112J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4,56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Környezetkímélő energiaforrások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VEMKFISV12B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Környezetmenedzsment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19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4,48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Környezetmenedzsment rendszerek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Környezetmodellezés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Környezetpolitika, környezetszociológia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VEMKKVB212P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4,85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Környezettechnológia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VEMKKVM116T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Környezettechnológia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VEMKKVM265T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Környezetvédelem az interneten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VEMKKVA232K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Környezetvédelmi biológia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VEMKLIM112B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Környezetvédelmi igazgatás rendszere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VEMKKVM443R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lastRenderedPageBreak/>
              <w:t>Közgazdaságtan és Vállalkozásgazdaságtan (Gazdasági ismeretek)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VEGTGAB114M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79%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Közlekedés és mezőgazdaság környezeti hatásai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VEMKKVT212K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3,61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Légkörtan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VEMKFTB212L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VEMKKVM423L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3,33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95%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 alapjai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 alapjai laboratóriumi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VEMKKVB132L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VEMKKVT222L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2,80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VEMKKVT232L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3,10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Levegőtisztaság-védelem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VEMKKVM432L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Limnológia és hidrobiológia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VEMKLIK112L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75%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Magyarország környezeti állapota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VEMKKV3222K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Magyarország környezeti állapota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VEMKKVB222M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Matematikai analízis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VEMKMAB112M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1,63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Matematikai analízis I.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VEMKMAB122M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1,53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Matematikai analízis II.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VEMKMAB212M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2,17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Matematikai analízis II.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VEMKMAB222M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Matematikai analízis mérnököknek 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VEMIMAM143A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76%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Matematikai statisztika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VEMKMAB212S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2,71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Membrános műveletek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VEMKBMB412M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Mérnöki kommunikáció és magatartás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VEMKKVB122K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4,93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Mérnökinformatika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VEMKKVM122I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3,30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82%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Minőségbiztosítás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94%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Minőségbiztosítás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VEMKKVM412M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3,94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Műszaki ábrázolás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VEMKGE1212V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Műszaki áramlás- és hőtan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VEMKGEB212H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Műszaki áramlás- és hőtan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VEMKGEB232V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Műszaki áramlástan és hőtan 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VEMKGEB143H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Műszaki áramlástan és hőtan II.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VEMKGEB242H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2,50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Műszaki rajz és ábrázoló geometria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VEMKGEB121R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Művelettan 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VEMKMUB244A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Művelettan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VEMKMUB132A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Nukleáris balesetelhárítás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VEMKRKR212N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Nukleáris méréstechnika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VEMKRK3212N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Numerikus módszerek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VEMKMA1144C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Optimalizálás az olajiparban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VEMKOLB114O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Ökológia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VEMKKVB112O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2,83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Ökológia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VEMKKVM112Ö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4,75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Ökotoxikológia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VEMKTTM252Ö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3,97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Radioizotóp alkalmazások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VEMKRK4212R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Radioökológia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VEMKRK3312O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88%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Radioökológia és méréstechnika </w:t>
            </w:r>
            <w:r w:rsidRPr="008A4965">
              <w:rPr>
                <w:sz w:val="16"/>
              </w:rPr>
              <w:lastRenderedPageBreak/>
              <w:t>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lastRenderedPageBreak/>
              <w:t>VEMKRKR136R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lastRenderedPageBreak/>
              <w:t>Sugaras és nukleáris balesetek, tapasztalatok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VEMKRKR222S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Sugárzástani alapismeretek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VEMKRK3321S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3,53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Szabadon választható tárgy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VETKSZABVAL40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Szabadon választható tárgy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VEMKSZV2B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 xml:space="preserve">Számítástechnika I. 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VEMKFOB333S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Szennyvíztisztítás alapjai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Szennyvíztisztítás alapjai laborítóriumi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VEMKKVB132V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Szennyvíztisztítási technológiák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VEMKKVT133S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4,71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Szerves kémia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VEMKOK1212B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2,42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75%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Szerves kémia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VEMKOK1112B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2,40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Szerves kémia lab. gyak.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VEMKOK1232K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3,29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Szilikátok szerepe a civilizációs fejlődésben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VEMKSISV12A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Szociológia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VEMKTT1312S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Talaj- és talajvízvédelem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VEMKKVB112T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Talaj- és talajvízvédelem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VEMKKVM412T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Talaj- és talajvízvédelem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VEMKKVT122T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Talajtan, talajkémia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VEMKKVB212T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3,43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Technológiai rendszerek modellezése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VEMKFOB114M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2,18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Térinformatika és modellezés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VEMKKVM453T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Természet- és tájvédelem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VEMKKVB222T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3,89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Természetes és mesterséges sugárzások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VEMKRKSV12S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Természetvédelem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VEMKKVM122T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17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3,76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91%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1.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VEMKKVM134T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4,72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1. (ISM)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VEMKKVM134I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VEMKKV3226T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VEMKKVB232T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VEMKKVB132T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4,83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Tervezési feladat II.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VEMKKVM236T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Testépítés és alakformálás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VEPETO5344A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Tisztább technológiák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VEMKKVM411T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3,75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Toxikológia, ökotoxikológia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VEMKZOB212T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3,88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Toxikológia, ökotoxikológia laboratóriumi 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VEMKZOB231T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4,13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Tudományos kommunikáció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VEMKLIM114T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Valószínűségszámítás és matematikai statisztika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VEMIMAM143V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2,61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67%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Vízgazdálkodás, szennyvíztisztítás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VEMKKVM423V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21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12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4,33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Vízgazdálkodás, szennyvíztisztítás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VEMKKVM432V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20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4,25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Vízgazdálkodás, vízelőkészítés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VEMKKVB212G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17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4,24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Víztisztítási technológiák laborgyakorlat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VEMKKVT232V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6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4,67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Zaj- és rezgésvédelem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VEMKKVB153Z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29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4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3,34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93%</w:t>
            </w:r>
          </w:p>
        </w:tc>
      </w:tr>
      <w:tr w:rsidR="008A4965" w:rsidRPr="008A4965" w:rsidTr="008A4965">
        <w:trPr>
          <w:trHeight w:val="300"/>
        </w:trPr>
        <w:tc>
          <w:tcPr>
            <w:tcW w:w="2494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Zöld kémia</w:t>
            </w:r>
          </w:p>
        </w:tc>
        <w:tc>
          <w:tcPr>
            <w:tcW w:w="1503" w:type="dxa"/>
            <w:noWrap/>
            <w:hideMark/>
          </w:tcPr>
          <w:p w:rsidR="008A4965" w:rsidRPr="008A4965" w:rsidRDefault="008A4965">
            <w:pPr>
              <w:rPr>
                <w:sz w:val="16"/>
              </w:rPr>
            </w:pPr>
            <w:r w:rsidRPr="008A4965">
              <w:rPr>
                <w:sz w:val="16"/>
              </w:rPr>
              <w:t>VEMKOKB112Z</w:t>
            </w:r>
          </w:p>
        </w:tc>
        <w:tc>
          <w:tcPr>
            <w:tcW w:w="700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8A4965" w:rsidRPr="008A4965" w:rsidRDefault="008A4965" w:rsidP="008A4965">
            <w:pPr>
              <w:rPr>
                <w:sz w:val="16"/>
              </w:rPr>
            </w:pPr>
            <w:r w:rsidRPr="008A4965">
              <w:rPr>
                <w:sz w:val="16"/>
              </w:rPr>
              <w:t>100%</w:t>
            </w:r>
          </w:p>
        </w:tc>
      </w:tr>
    </w:tbl>
    <w:p w:rsidR="00CA403E" w:rsidRDefault="00CA403E" w:rsidP="009D391B">
      <w:pPr>
        <w:pStyle w:val="0CM1"/>
      </w:pPr>
    </w:p>
    <w:p w:rsidR="00CA403E" w:rsidRDefault="00CA403E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821BD3" w:rsidRPr="00D643E6" w:rsidRDefault="00821BD3" w:rsidP="009D391B">
      <w:pPr>
        <w:pStyle w:val="0CM1"/>
        <w:rPr>
          <w:sz w:val="28"/>
          <w:szCs w:val="28"/>
        </w:rPr>
      </w:pPr>
      <w:bookmarkStart w:id="15" w:name="_Toc481583930"/>
      <w:r w:rsidRPr="00AB1613">
        <w:lastRenderedPageBreak/>
        <w:t>4. Záróvizsga értékelése</w:t>
      </w:r>
      <w:bookmarkEnd w:id="15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2001.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2002.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85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2003.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73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2004.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2005.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2006.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2007.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2008.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56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5E440C" w:rsidTr="00821BD3">
        <w:tc>
          <w:tcPr>
            <w:tcW w:w="930" w:type="dxa"/>
          </w:tcPr>
          <w:p w:rsidR="005E440C" w:rsidRDefault="005E440C" w:rsidP="00821BD3">
            <w:r>
              <w:t>2011.</w:t>
            </w:r>
          </w:p>
        </w:tc>
        <w:tc>
          <w:tcPr>
            <w:tcW w:w="1630" w:type="dxa"/>
          </w:tcPr>
          <w:p w:rsidR="005E440C" w:rsidRDefault="002D5FE0" w:rsidP="00821BD3">
            <w:pPr>
              <w:jc w:val="center"/>
            </w:pPr>
            <w:r>
              <w:t>35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</w:tr>
    </w:tbl>
    <w:p w:rsidR="00D762B4" w:rsidRDefault="00D762B4">
      <w:pPr>
        <w:rPr>
          <w:b/>
        </w:rPr>
      </w:pPr>
    </w:p>
    <w:p w:rsidR="00821BD3" w:rsidRPr="00EC2820" w:rsidRDefault="00821BD3" w:rsidP="00821BD3">
      <w:pPr>
        <w:rPr>
          <w:b/>
        </w:rPr>
      </w:pPr>
      <w:r w:rsidRPr="00EC2820">
        <w:rPr>
          <w:b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6A1809" w:rsidTr="00821BD3">
        <w:tc>
          <w:tcPr>
            <w:tcW w:w="930" w:type="dxa"/>
          </w:tcPr>
          <w:p w:rsidR="006A1809" w:rsidRDefault="006A1809" w:rsidP="00821BD3">
            <w:r>
              <w:t>2011.</w:t>
            </w:r>
          </w:p>
        </w:tc>
        <w:tc>
          <w:tcPr>
            <w:tcW w:w="1630" w:type="dxa"/>
          </w:tcPr>
          <w:p w:rsidR="006A1809" w:rsidRDefault="00432AC3" w:rsidP="00821BD3">
            <w:pPr>
              <w:jc w:val="center"/>
            </w:pPr>
            <w:r>
              <w:t>26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  <w:tr w:rsidR="00D762B4" w:rsidTr="00821BD3">
        <w:tc>
          <w:tcPr>
            <w:tcW w:w="930" w:type="dxa"/>
          </w:tcPr>
          <w:p w:rsidR="00D762B4" w:rsidRDefault="00D762B4" w:rsidP="00821BD3">
            <w:r>
              <w:t>2013</w:t>
            </w:r>
          </w:p>
        </w:tc>
        <w:tc>
          <w:tcPr>
            <w:tcW w:w="1630" w:type="dxa"/>
          </w:tcPr>
          <w:p w:rsidR="00D762B4" w:rsidRDefault="00CF6B62" w:rsidP="00821BD3">
            <w:pPr>
              <w:jc w:val="center"/>
            </w:pPr>
            <w:r>
              <w:t>21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</w:tr>
      <w:tr w:rsidR="00F17EAA" w:rsidTr="00821BD3">
        <w:tc>
          <w:tcPr>
            <w:tcW w:w="930" w:type="dxa"/>
          </w:tcPr>
          <w:p w:rsidR="00F17EAA" w:rsidRDefault="00F17EAA" w:rsidP="00821BD3">
            <w:r>
              <w:t>2014</w:t>
            </w:r>
          </w:p>
        </w:tc>
        <w:tc>
          <w:tcPr>
            <w:tcW w:w="1630" w:type="dxa"/>
          </w:tcPr>
          <w:p w:rsidR="00F17EAA" w:rsidRDefault="00D0606E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</w:tr>
      <w:tr w:rsidR="008A4965" w:rsidTr="00821BD3">
        <w:tc>
          <w:tcPr>
            <w:tcW w:w="930" w:type="dxa"/>
          </w:tcPr>
          <w:p w:rsidR="008A4965" w:rsidRDefault="008A4965" w:rsidP="00821BD3">
            <w:r>
              <w:t>2015</w:t>
            </w:r>
          </w:p>
        </w:tc>
        <w:tc>
          <w:tcPr>
            <w:tcW w:w="1630" w:type="dxa"/>
          </w:tcPr>
          <w:p w:rsidR="008A4965" w:rsidRDefault="00880A72" w:rsidP="00821BD3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</w:tr>
    </w:tbl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Km MSc: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432AC3" w:rsidTr="00821BD3">
        <w:tc>
          <w:tcPr>
            <w:tcW w:w="930" w:type="dxa"/>
          </w:tcPr>
          <w:p w:rsidR="00432AC3" w:rsidRDefault="00432AC3" w:rsidP="00821BD3">
            <w:r>
              <w:t>2011.</w:t>
            </w:r>
          </w:p>
        </w:tc>
        <w:tc>
          <w:tcPr>
            <w:tcW w:w="1630" w:type="dxa"/>
          </w:tcPr>
          <w:p w:rsidR="00432AC3" w:rsidRDefault="00432AC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29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  <w:tr w:rsidR="00D762B4" w:rsidTr="00821BD3">
        <w:tc>
          <w:tcPr>
            <w:tcW w:w="930" w:type="dxa"/>
          </w:tcPr>
          <w:p w:rsidR="00D762B4" w:rsidRDefault="00D762B4" w:rsidP="00821BD3">
            <w:r>
              <w:t>2013</w:t>
            </w:r>
          </w:p>
        </w:tc>
        <w:tc>
          <w:tcPr>
            <w:tcW w:w="1630" w:type="dxa"/>
          </w:tcPr>
          <w:p w:rsidR="00D762B4" w:rsidRDefault="00CF6B62" w:rsidP="00821BD3">
            <w:pPr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1</w:t>
            </w:r>
          </w:p>
        </w:tc>
      </w:tr>
      <w:tr w:rsidR="00D0606E" w:rsidTr="00821BD3">
        <w:tc>
          <w:tcPr>
            <w:tcW w:w="930" w:type="dxa"/>
          </w:tcPr>
          <w:p w:rsidR="00D0606E" w:rsidRDefault="00D0606E" w:rsidP="00821BD3">
            <w:r>
              <w:t>2014</w:t>
            </w:r>
          </w:p>
        </w:tc>
        <w:tc>
          <w:tcPr>
            <w:tcW w:w="1630" w:type="dxa"/>
          </w:tcPr>
          <w:p w:rsidR="00D0606E" w:rsidRDefault="00D0606E" w:rsidP="00821BD3">
            <w:pPr>
              <w:jc w:val="center"/>
            </w:pPr>
            <w:r>
              <w:t>20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</w:tr>
      <w:tr w:rsidR="008A4965" w:rsidTr="00821BD3">
        <w:tc>
          <w:tcPr>
            <w:tcW w:w="930" w:type="dxa"/>
          </w:tcPr>
          <w:p w:rsidR="008A4965" w:rsidRDefault="008A4965" w:rsidP="00821BD3">
            <w:r>
              <w:t>2015</w:t>
            </w:r>
          </w:p>
        </w:tc>
        <w:tc>
          <w:tcPr>
            <w:tcW w:w="1630" w:type="dxa"/>
          </w:tcPr>
          <w:p w:rsidR="008A4965" w:rsidRDefault="008C105B" w:rsidP="00821BD3">
            <w:pPr>
              <w:jc w:val="center"/>
            </w:pPr>
            <w:r>
              <w:t>21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A4965" w:rsidRDefault="008C105B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A4965" w:rsidRDefault="008C105B" w:rsidP="00821BD3">
            <w:pPr>
              <w:jc w:val="center"/>
            </w:pPr>
            <w:r>
              <w:t>0</w:t>
            </w:r>
          </w:p>
        </w:tc>
      </w:tr>
    </w:tbl>
    <w:p w:rsidR="00952162" w:rsidRDefault="00952162" w:rsidP="00821BD3">
      <w:pPr>
        <w:spacing w:before="120" w:after="120" w:line="360" w:lineRule="auto"/>
        <w:ind w:firstLine="539"/>
      </w:pPr>
    </w:p>
    <w:p w:rsidR="00154E0A" w:rsidRDefault="00154E0A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952162" w:rsidRPr="00333032" w:rsidRDefault="00952162" w:rsidP="00952162">
      <w:pPr>
        <w:pStyle w:val="0CM1"/>
      </w:pPr>
      <w:bookmarkStart w:id="16" w:name="_Toc481583931"/>
      <w:r w:rsidRPr="00333032">
        <w:lastRenderedPageBreak/>
        <w:t>5. A képzési folyamat és eredményei (MAB KÖVETELMÉNY)</w:t>
      </w:r>
      <w:bookmarkEnd w:id="16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>mértékben segítették (HEFOP, TÁMOP) A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>Ugyanakkor szükséges kiemelni, hogy a hallgatók bizonyos esetekben pl. a Séd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lastRenderedPageBreak/>
        <w:t>R</w:t>
      </w:r>
      <w:r w:rsidR="00BD5BC3" w:rsidRPr="004D7025">
        <w:t>endszeresen foglalkoztatunk B.Sc</w:t>
      </w:r>
      <w:r w:rsidR="001C6FA3">
        <w:t>. és</w:t>
      </w:r>
      <w:r w:rsidR="00BD5BC3" w:rsidRPr="004D7025">
        <w:t xml:space="preserve"> M.Sc</w:t>
      </w:r>
      <w:r w:rsidR="001C6FA3">
        <w:t>. szakos</w:t>
      </w:r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t xml:space="preserve">Tantervekben szabályozva. A Bizottságok </w:t>
      </w:r>
      <w:r w:rsidR="00D762B4">
        <w:t>egyik tagja minden esetben</w:t>
      </w:r>
      <w:r w:rsidR="00EC51DC">
        <w:t xml:space="preserve"> szakmai t</w:t>
      </w:r>
      <w:r w:rsidR="00D762B4">
        <w:t xml:space="preserve">éren elismert </w:t>
      </w:r>
      <w:r w:rsidR="00EC51DC">
        <w:t>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A878DD" w:rsidRPr="004D7025" w:rsidRDefault="00A878DD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lastRenderedPageBreak/>
        <w:tab/>
        <w:t xml:space="preserve">A szakdolgozatok témavezetői között milyen a vezetőoktatók (tanár, docens) és a beosztottak aránya? </w:t>
      </w:r>
    </w:p>
    <w:p w:rsid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tbl>
      <w:tblPr>
        <w:tblW w:w="0" w:type="auto"/>
        <w:tblInd w:w="959" w:type="dxa"/>
        <w:shd w:val="clear" w:color="auto" w:fill="FFFF99"/>
        <w:tblLook w:val="04A0" w:firstRow="1" w:lastRow="0" w:firstColumn="1" w:lastColumn="0" w:noHBand="0" w:noVBand="1"/>
      </w:tblPr>
      <w:tblGrid>
        <w:gridCol w:w="1843"/>
        <w:gridCol w:w="1738"/>
        <w:gridCol w:w="1739"/>
        <w:gridCol w:w="1738"/>
        <w:gridCol w:w="1739"/>
      </w:tblGrid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adjunktus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tanársegéd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június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1A1BE7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</w:t>
            </w:r>
            <w:r w:rsidR="00FF3D67">
              <w:rPr>
                <w:sz w:val="24"/>
              </w:rPr>
              <w:t>únius</w:t>
            </w: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január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június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2013. január</w:t>
            </w: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2013. június</w:t>
            </w: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D762B4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2014. január</w:t>
            </w: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D762B4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2014. június</w:t>
            </w: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FD1921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2015. január</w:t>
            </w:r>
          </w:p>
        </w:tc>
        <w:tc>
          <w:tcPr>
            <w:tcW w:w="1738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FD1921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2015. június</w:t>
            </w:r>
          </w:p>
        </w:tc>
        <w:tc>
          <w:tcPr>
            <w:tcW w:w="1738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54E0A" w:rsidRDefault="00154E0A">
      <w:r>
        <w:br w:type="page"/>
      </w: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lastRenderedPageBreak/>
        <w:tab/>
        <w:t>Milyen a hallgatók témaválasztásának megoszlása a szakterület egyes jellemző területei között? (esetleg a tanszékek közötti megoszlás?)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823"/>
        <w:gridCol w:w="823"/>
        <w:gridCol w:w="823"/>
        <w:gridCol w:w="823"/>
        <w:gridCol w:w="823"/>
        <w:gridCol w:w="823"/>
        <w:gridCol w:w="823"/>
      </w:tblGrid>
      <w:tr w:rsidR="00D96730" w:rsidTr="00E425EB">
        <w:tc>
          <w:tcPr>
            <w:tcW w:w="1276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Félév</w:t>
            </w:r>
          </w:p>
        </w:tc>
        <w:tc>
          <w:tcPr>
            <w:tcW w:w="1417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Képzési szint</w:t>
            </w:r>
          </w:p>
        </w:tc>
        <w:tc>
          <w:tcPr>
            <w:tcW w:w="5761" w:type="dxa"/>
            <w:gridSpan w:val="7"/>
          </w:tcPr>
          <w:p w:rsidR="00D96730" w:rsidRPr="008952E3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Intézet</w:t>
            </w:r>
          </w:p>
        </w:tc>
      </w:tr>
      <w:tr w:rsidR="00D96730" w:rsidTr="00D96730">
        <w:tc>
          <w:tcPr>
            <w:tcW w:w="1276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KMI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RK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FKT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</w:p>
        </w:tc>
        <w:tc>
          <w:tcPr>
            <w:tcW w:w="823" w:type="dxa"/>
          </w:tcPr>
          <w:p w:rsidR="00D96730" w:rsidRPr="00432EE3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AM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</w:t>
            </w: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január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június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432EE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952162">
      <w:pPr>
        <w:pStyle w:val="Lista"/>
        <w:numPr>
          <w:ilvl w:val="0"/>
          <w:numId w:val="0"/>
        </w:numPr>
        <w:ind w:left="720"/>
        <w:rPr>
          <w:sz w:val="24"/>
        </w:rPr>
      </w:pP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lastRenderedPageBreak/>
        <w:tab/>
        <w:t>Milyen hallgatói szolgáltatások állnak kari/intézményi szinten a hallgatók rendelkezésére?</w:t>
      </w:r>
    </w:p>
    <w:p w:rsidR="000C3CA4" w:rsidRDefault="000C3CA4" w:rsidP="00952162">
      <w:pPr>
        <w:ind w:left="708"/>
      </w:pP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 (</w:t>
      </w:r>
      <w:r w:rsidRPr="004D7025">
        <w:rPr>
          <w:b/>
        </w:rPr>
        <w:t>link</w:t>
      </w:r>
      <w:r w:rsidRPr="004D7025">
        <w:t xml:space="preserve">): </w:t>
      </w:r>
    </w:p>
    <w:p w:rsidR="00D36C5B" w:rsidRDefault="00D36C5B" w:rsidP="00952162">
      <w:pPr>
        <w:ind w:left="708"/>
      </w:pPr>
    </w:p>
    <w:p w:rsidR="00C148CB" w:rsidRDefault="00CC137D" w:rsidP="00D17D71">
      <w:pPr>
        <w:shd w:val="clear" w:color="auto" w:fill="FFFF99"/>
        <w:ind w:left="708"/>
      </w:pPr>
      <w:hyperlink r:id="rId18" w:history="1">
        <w:r w:rsidR="00C148CB" w:rsidRPr="002319D3">
          <w:rPr>
            <w:rStyle w:val="Hiperhivatkozs"/>
          </w:rPr>
          <w:t>http://mk.uni-pannon.hu/index.php/koernyezetmernoeki-intezet</w:t>
        </w:r>
      </w:hyperlink>
      <w:r w:rsidR="00C148CB">
        <w:t xml:space="preserve"> </w:t>
      </w:r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952162" w:rsidRDefault="00952162" w:rsidP="00952162">
      <w:pPr>
        <w:pStyle w:val="abcrend"/>
        <w:numPr>
          <w:ilvl w:val="0"/>
          <w:numId w:val="0"/>
        </w:numPr>
        <w:ind w:left="774"/>
        <w:rPr>
          <w:sz w:val="24"/>
        </w:rPr>
      </w:pP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333032" w:rsidRDefault="00952162" w:rsidP="00952162">
      <w:pPr>
        <w:pStyle w:val="0CM1"/>
      </w:pPr>
      <w:bookmarkStart w:id="17" w:name="_Toc481583932"/>
      <w:r w:rsidRPr="00333032">
        <w:t>6. Minőségbiztosítás, minőségfejlesztés</w:t>
      </w:r>
      <w:bookmarkEnd w:id="17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</w:t>
      </w:r>
      <w:r w:rsidR="00CF6B62">
        <w:t>6</w:t>
      </w:r>
      <w:r w:rsidR="0060778F">
        <w:t xml:space="preserve"> oktató (akik a szakon folyó képzésben aktívan vesznek részt) és </w:t>
      </w:r>
      <w:r w:rsidR="00CF6B62">
        <w:t>1</w:t>
      </w:r>
      <w:r w:rsidR="0060778F">
        <w:t xml:space="preserve">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  <w:t>fejlesztendő</w:t>
      </w: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lastRenderedPageBreak/>
        <w:t>Tesz-e fel a szak a saját működésére vonatkozó kérdéseket a következők körében? (Ha igen, részletezzék válaszaikat.)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oktatók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végzett 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felhasználók</w:t>
      </w:r>
    </w:p>
    <w:p w:rsidR="00D5737A" w:rsidRDefault="00952162" w:rsidP="00D5737A">
      <w:pPr>
        <w:pStyle w:val="Lista"/>
        <w:numPr>
          <w:ilvl w:val="0"/>
          <w:numId w:val="0"/>
        </w:numPr>
      </w:pPr>
      <w:r w:rsidRPr="00333032">
        <w:tab/>
        <w:t>egyéb:</w:t>
      </w:r>
      <w:r w:rsidR="00D5737A" w:rsidRPr="00D5737A">
        <w:t xml:space="preserve"> 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r w:rsidR="005246ED" w:rsidRPr="00000317">
        <w:t>stakeholderekkel</w:t>
      </w:r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985496" w:rsidRDefault="00985496" w:rsidP="00710A73">
      <w:pPr>
        <w:pStyle w:val="abcrend"/>
        <w:numPr>
          <w:ilvl w:val="0"/>
          <w:numId w:val="0"/>
        </w:numPr>
        <w:shd w:val="clear" w:color="auto" w:fill="auto"/>
        <w:ind w:left="709"/>
      </w:pP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>A Rangking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18" w:name="_Toc481583933"/>
      <w:r>
        <w:t>7.</w:t>
      </w:r>
      <w:r w:rsidRPr="00333032">
        <w:t xml:space="preserve"> Felhasználói szempontok, kapcsolati formák</w:t>
      </w:r>
      <w:bookmarkEnd w:id="18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lastRenderedPageBreak/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>ás szakok – itthon és külföldön: belföldön kiválóan működő kapcsolat rendszer, évente többszöri országos szakvezetői fórum megtartása, a külföldi társintézményekkel hatékony együttműködés, mobilitás (CEPUS, ERASMUS, nemzetközi megállapodások).</w:t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19" w:name="_Toc481583934"/>
      <w:bookmarkStart w:id="20" w:name="_Toc116285539"/>
      <w:bookmarkEnd w:id="14"/>
      <w:r w:rsidRPr="00E901FF">
        <w:t>8</w:t>
      </w:r>
      <w:r w:rsidR="00B42147" w:rsidRPr="00E901FF">
        <w:t>. Intézkedési javaslatok</w:t>
      </w:r>
      <w:bookmarkEnd w:id="19"/>
      <w:r w:rsidR="00B42147">
        <w:t xml:space="preserve"> </w:t>
      </w:r>
      <w:bookmarkEnd w:id="20"/>
    </w:p>
    <w:p w:rsidR="00396F3A" w:rsidRDefault="00952162" w:rsidP="00952162">
      <w:pPr>
        <w:pStyle w:val="0CM2"/>
      </w:pPr>
      <w:bookmarkStart w:id="21" w:name="_Toc481583935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8A4965">
        <w:t>4</w:t>
      </w:r>
      <w:r w:rsidR="00B42147">
        <w:t>-b</w:t>
      </w:r>
      <w:r w:rsidR="008A4965">
        <w:t>e</w:t>
      </w:r>
      <w:r w:rsidR="00B42147">
        <w:t>n:</w:t>
      </w:r>
      <w:bookmarkEnd w:id="21"/>
    </w:p>
    <w:p w:rsidR="008A4965" w:rsidRDefault="008A4965" w:rsidP="008A4965">
      <w:pPr>
        <w:pStyle w:val="Listaszerbekezds"/>
        <w:numPr>
          <w:ilvl w:val="0"/>
          <w:numId w:val="23"/>
        </w:numPr>
        <w:spacing w:before="120"/>
      </w:pPr>
      <w:r>
        <w:t>Beiskolázási tevékenység erősítése.</w:t>
      </w:r>
    </w:p>
    <w:p w:rsidR="00B42147" w:rsidRDefault="00952162" w:rsidP="00952162">
      <w:pPr>
        <w:pStyle w:val="0CM2"/>
      </w:pPr>
      <w:bookmarkStart w:id="22" w:name="_Toc481583936"/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8A4965">
        <w:t>5</w:t>
      </w:r>
      <w:r w:rsidR="00396F3A">
        <w:t>-b</w:t>
      </w:r>
      <w:r w:rsidR="008A4965">
        <w:t>a</w:t>
      </w:r>
      <w:r w:rsidR="00B42147">
        <w:t>n</w:t>
      </w:r>
      <w:bookmarkEnd w:id="22"/>
    </w:p>
    <w:p w:rsidR="00D96730" w:rsidRDefault="00D96730" w:rsidP="008A4965">
      <w:pPr>
        <w:spacing w:before="120"/>
        <w:ind w:left="709" w:hanging="284"/>
      </w:pPr>
      <w:r>
        <w:t>1.</w:t>
      </w:r>
      <w:r>
        <w:tab/>
        <w:t>Folyamatban.</w:t>
      </w:r>
    </w:p>
    <w:p w:rsidR="00B42147" w:rsidRDefault="00952162" w:rsidP="00952162">
      <w:pPr>
        <w:pStyle w:val="0CM2"/>
      </w:pPr>
      <w:bookmarkStart w:id="23" w:name="_Toc481583937"/>
      <w:r>
        <w:t>8</w:t>
      </w:r>
      <w:r w:rsidR="00396F3A">
        <w:t xml:space="preserve">.3. Intézkedési javaslatok </w:t>
      </w:r>
      <w:r w:rsidR="00A80D3A">
        <w:t>201</w:t>
      </w:r>
      <w:r w:rsidR="008A4965">
        <w:t>6</w:t>
      </w:r>
      <w:r w:rsidR="00396F3A">
        <w:t>-</w:t>
      </w:r>
      <w:r w:rsidR="008A4965">
        <w:t>ra</w:t>
      </w:r>
      <w:r w:rsidR="00B42147">
        <w:t>:</w:t>
      </w:r>
      <w:bookmarkEnd w:id="23"/>
    </w:p>
    <w:p w:rsidR="00C148CB" w:rsidRDefault="008A4965">
      <w:r>
        <w:t>1. Aktívabb részvétel középiskolákat érint rendezvényeken.</w:t>
      </w:r>
    </w:p>
    <w:p w:rsidR="008A4965" w:rsidRDefault="008A4965">
      <w:r>
        <w:t>2. Tanterv korszerűsítése.</w:t>
      </w:r>
    </w:p>
    <w:p w:rsidR="008A4965" w:rsidRDefault="008A4965"/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4" w:name="_Toc481583938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4"/>
    </w:p>
    <w:p w:rsidR="00E4791D" w:rsidRDefault="00E4791D" w:rsidP="00952162">
      <w:pPr>
        <w:jc w:val="both"/>
        <w:rPr>
          <w:snapToGrid w:val="0"/>
        </w:rPr>
      </w:pPr>
    </w:p>
    <w:tbl>
      <w:tblPr>
        <w:tblW w:w="0" w:type="auto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786"/>
        <w:gridCol w:w="4970"/>
      </w:tblGrid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</w:t>
            </w:r>
            <w:r w:rsidR="00E50389">
              <w:rPr>
                <w:snapToGrid w:val="0"/>
                <w:sz w:val="22"/>
                <w:szCs w:val="22"/>
              </w:rPr>
              <w:t>során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E50389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  <w:r w:rsidR="00E50389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79669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Alacsony fizetések miatt az oktatók erős leterheltsége nem oktatási tevékenységgel.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Fiatal lelkes oktatók.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</w:p>
          <w:p w:rsidR="00E4791D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Bizonytalan finanszírozási háttér.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C148CB" w:rsidP="00952162">
      <w:pPr>
        <w:rPr>
          <w:snapToGrid w:val="0"/>
        </w:rPr>
      </w:pPr>
      <w:r>
        <w:rPr>
          <w:b/>
          <w:snapToGrid w:val="0"/>
        </w:rPr>
        <w:t>4</w:t>
      </w:r>
      <w:r w:rsidR="00952162" w:rsidRPr="00710A73">
        <w:rPr>
          <w:b/>
          <w:snapToGrid w:val="0"/>
        </w:rPr>
        <w:t>. ábra</w:t>
      </w:r>
      <w:r w:rsidR="00952162"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19"/>
      <w:footerReference w:type="default" r:id="rId20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1F" w:rsidRDefault="00215A1F">
      <w:r>
        <w:separator/>
      </w:r>
    </w:p>
  </w:endnote>
  <w:endnote w:type="continuationSeparator" w:id="0">
    <w:p w:rsidR="00215A1F" w:rsidRDefault="002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130"/>
      <w:gridCol w:w="3224"/>
    </w:tblGrid>
    <w:tr w:rsidR="00880A72" w:rsidRPr="003D4555" w:rsidTr="00BB1193">
      <w:tc>
        <w:tcPr>
          <w:tcW w:w="3176" w:type="dxa"/>
        </w:tcPr>
        <w:p w:rsidR="00880A72" w:rsidRPr="003D4555" w:rsidRDefault="00880A72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880A72" w:rsidRDefault="00880A72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880A72" w:rsidRPr="003D4555" w:rsidRDefault="00880A72" w:rsidP="000F615D">
          <w:pPr>
            <w:pStyle w:val="llb"/>
            <w:rPr>
              <w:i/>
              <w:iCs/>
              <w:sz w:val="20"/>
              <w:szCs w:val="20"/>
            </w:rPr>
          </w:pPr>
        </w:p>
      </w:tc>
      <w:tc>
        <w:tcPr>
          <w:tcW w:w="3130" w:type="dxa"/>
          <w:vAlign w:val="center"/>
        </w:tcPr>
        <w:p w:rsidR="00880A72" w:rsidRPr="003D4555" w:rsidRDefault="00880A72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CC137D">
            <w:rPr>
              <w:rStyle w:val="Oldalszm"/>
              <w:i/>
              <w:iCs/>
              <w:noProof/>
              <w:sz w:val="20"/>
              <w:szCs w:val="20"/>
            </w:rPr>
            <w:t>1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CC137D">
            <w:rPr>
              <w:rStyle w:val="Oldalszm"/>
              <w:i/>
              <w:iCs/>
              <w:noProof/>
              <w:sz w:val="20"/>
              <w:szCs w:val="20"/>
            </w:rPr>
            <w:t>28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224" w:type="dxa"/>
        </w:tcPr>
        <w:p w:rsidR="00880A72" w:rsidRDefault="00880A72">
          <w:pPr>
            <w:pStyle w:val="llb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 xml:space="preserve">Szakvezető: </w:t>
          </w:r>
        </w:p>
        <w:p w:rsidR="00880A72" w:rsidRDefault="00880A72" w:rsidP="000F615D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880A72" w:rsidRPr="000F615D" w:rsidRDefault="00880A72" w:rsidP="000F615D">
          <w:pPr>
            <w:pStyle w:val="llb"/>
            <w:jc w:val="center"/>
            <w:rPr>
              <w:i/>
              <w:iCs/>
              <w:sz w:val="10"/>
              <w:szCs w:val="10"/>
            </w:rPr>
          </w:pPr>
        </w:p>
        <w:p w:rsidR="00880A72" w:rsidRPr="000F615D" w:rsidRDefault="00880A72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>___________</w:t>
          </w:r>
        </w:p>
      </w:tc>
    </w:tr>
  </w:tbl>
  <w:p w:rsidR="00880A72" w:rsidRPr="009E1D90" w:rsidRDefault="00880A72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1F" w:rsidRDefault="00215A1F">
      <w:r>
        <w:separator/>
      </w:r>
    </w:p>
  </w:footnote>
  <w:footnote w:type="continuationSeparator" w:id="0">
    <w:p w:rsidR="00215A1F" w:rsidRDefault="00215A1F">
      <w:r>
        <w:continuationSeparator/>
      </w:r>
    </w:p>
  </w:footnote>
  <w:footnote w:id="1">
    <w:p w:rsidR="00880A72" w:rsidRDefault="00880A72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2" w:rsidRPr="00243A0D" w:rsidRDefault="00880A72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  <w:t>2015/2016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2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0F0A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0022"/>
    <w:rsid w:val="00073A7F"/>
    <w:rsid w:val="00073AFC"/>
    <w:rsid w:val="00073F8B"/>
    <w:rsid w:val="00074379"/>
    <w:rsid w:val="00074CDD"/>
    <w:rsid w:val="00075123"/>
    <w:rsid w:val="0007583D"/>
    <w:rsid w:val="00080A2C"/>
    <w:rsid w:val="00083BC6"/>
    <w:rsid w:val="0008403B"/>
    <w:rsid w:val="00085322"/>
    <w:rsid w:val="00090E0C"/>
    <w:rsid w:val="00092564"/>
    <w:rsid w:val="00093F1B"/>
    <w:rsid w:val="00097697"/>
    <w:rsid w:val="000A2D37"/>
    <w:rsid w:val="000A69C4"/>
    <w:rsid w:val="000A6BF5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E0E38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0F615D"/>
    <w:rsid w:val="00101878"/>
    <w:rsid w:val="001021AC"/>
    <w:rsid w:val="00112AF1"/>
    <w:rsid w:val="001133F3"/>
    <w:rsid w:val="00113675"/>
    <w:rsid w:val="00121EEE"/>
    <w:rsid w:val="00125C7A"/>
    <w:rsid w:val="00132CB5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4E0A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1CCC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1F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25CF"/>
    <w:rsid w:val="002437D7"/>
    <w:rsid w:val="00243A0D"/>
    <w:rsid w:val="00252BFA"/>
    <w:rsid w:val="00254693"/>
    <w:rsid w:val="0026146F"/>
    <w:rsid w:val="00262851"/>
    <w:rsid w:val="00280958"/>
    <w:rsid w:val="00285404"/>
    <w:rsid w:val="00291712"/>
    <w:rsid w:val="00294279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1669"/>
    <w:rsid w:val="00305AB8"/>
    <w:rsid w:val="00320841"/>
    <w:rsid w:val="00320DB5"/>
    <w:rsid w:val="00326AF4"/>
    <w:rsid w:val="003279A6"/>
    <w:rsid w:val="0033435E"/>
    <w:rsid w:val="00334905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393F"/>
    <w:rsid w:val="003E4E40"/>
    <w:rsid w:val="003E5A88"/>
    <w:rsid w:val="003F23CF"/>
    <w:rsid w:val="003F3BF2"/>
    <w:rsid w:val="004063FA"/>
    <w:rsid w:val="0041559C"/>
    <w:rsid w:val="00430820"/>
    <w:rsid w:val="00431193"/>
    <w:rsid w:val="00431C82"/>
    <w:rsid w:val="00432AC3"/>
    <w:rsid w:val="00432EE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66910"/>
    <w:rsid w:val="00471ADB"/>
    <w:rsid w:val="00471F2A"/>
    <w:rsid w:val="00480F39"/>
    <w:rsid w:val="004817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1D7A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6CE9"/>
    <w:rsid w:val="004D7025"/>
    <w:rsid w:val="004E0E36"/>
    <w:rsid w:val="004E1541"/>
    <w:rsid w:val="004E56A5"/>
    <w:rsid w:val="004F19B0"/>
    <w:rsid w:val="004F1F7A"/>
    <w:rsid w:val="004F2214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356D3"/>
    <w:rsid w:val="00540FE7"/>
    <w:rsid w:val="0054523E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078F"/>
    <w:rsid w:val="005A0FCB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0A92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5848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781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E3710"/>
    <w:rsid w:val="006F08C4"/>
    <w:rsid w:val="006F0F3E"/>
    <w:rsid w:val="006F27DC"/>
    <w:rsid w:val="006F348C"/>
    <w:rsid w:val="006F3C9A"/>
    <w:rsid w:val="007066E5"/>
    <w:rsid w:val="00707A82"/>
    <w:rsid w:val="00710A73"/>
    <w:rsid w:val="007140A6"/>
    <w:rsid w:val="0072053F"/>
    <w:rsid w:val="00722A9D"/>
    <w:rsid w:val="007305B6"/>
    <w:rsid w:val="00730C78"/>
    <w:rsid w:val="00731303"/>
    <w:rsid w:val="00731EDA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E67"/>
    <w:rsid w:val="007D56EF"/>
    <w:rsid w:val="007E0538"/>
    <w:rsid w:val="007E3FB1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27680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33A8"/>
    <w:rsid w:val="00867A5E"/>
    <w:rsid w:val="00875815"/>
    <w:rsid w:val="0087655A"/>
    <w:rsid w:val="00877C28"/>
    <w:rsid w:val="00880A72"/>
    <w:rsid w:val="00891EAD"/>
    <w:rsid w:val="00892E68"/>
    <w:rsid w:val="008952E3"/>
    <w:rsid w:val="00897DEE"/>
    <w:rsid w:val="008A2FC8"/>
    <w:rsid w:val="008A46B4"/>
    <w:rsid w:val="008A4965"/>
    <w:rsid w:val="008A4E25"/>
    <w:rsid w:val="008B05EE"/>
    <w:rsid w:val="008B12E2"/>
    <w:rsid w:val="008B7054"/>
    <w:rsid w:val="008B7320"/>
    <w:rsid w:val="008C105B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742"/>
    <w:rsid w:val="008F5075"/>
    <w:rsid w:val="008F57DD"/>
    <w:rsid w:val="008F5F21"/>
    <w:rsid w:val="008F6450"/>
    <w:rsid w:val="00902705"/>
    <w:rsid w:val="0090305E"/>
    <w:rsid w:val="00903089"/>
    <w:rsid w:val="009033D9"/>
    <w:rsid w:val="0090364B"/>
    <w:rsid w:val="00903C3D"/>
    <w:rsid w:val="00904645"/>
    <w:rsid w:val="00904FE1"/>
    <w:rsid w:val="00907EF7"/>
    <w:rsid w:val="00910DBD"/>
    <w:rsid w:val="009167E1"/>
    <w:rsid w:val="00932395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81D0F"/>
    <w:rsid w:val="00985496"/>
    <w:rsid w:val="009858C0"/>
    <w:rsid w:val="00996DCF"/>
    <w:rsid w:val="00997F2A"/>
    <w:rsid w:val="009A5154"/>
    <w:rsid w:val="009A5392"/>
    <w:rsid w:val="009A56BA"/>
    <w:rsid w:val="009B1F9C"/>
    <w:rsid w:val="009B2AD0"/>
    <w:rsid w:val="009B4B2B"/>
    <w:rsid w:val="009C45FE"/>
    <w:rsid w:val="009C6E74"/>
    <w:rsid w:val="009D391B"/>
    <w:rsid w:val="009D4701"/>
    <w:rsid w:val="009D6672"/>
    <w:rsid w:val="009D6B39"/>
    <w:rsid w:val="009E1327"/>
    <w:rsid w:val="009E1D90"/>
    <w:rsid w:val="009F2D51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004C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878DD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59EB"/>
    <w:rsid w:val="00B07D70"/>
    <w:rsid w:val="00B157CB"/>
    <w:rsid w:val="00B17DE6"/>
    <w:rsid w:val="00B208BC"/>
    <w:rsid w:val="00B21306"/>
    <w:rsid w:val="00B21604"/>
    <w:rsid w:val="00B21CA6"/>
    <w:rsid w:val="00B31AED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E16"/>
    <w:rsid w:val="00BB1193"/>
    <w:rsid w:val="00BB1195"/>
    <w:rsid w:val="00BB2355"/>
    <w:rsid w:val="00BB4197"/>
    <w:rsid w:val="00BC2BD3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48CB"/>
    <w:rsid w:val="00C166F8"/>
    <w:rsid w:val="00C1670B"/>
    <w:rsid w:val="00C2134D"/>
    <w:rsid w:val="00C3125E"/>
    <w:rsid w:val="00C34E35"/>
    <w:rsid w:val="00C35CBB"/>
    <w:rsid w:val="00C378E1"/>
    <w:rsid w:val="00C4008C"/>
    <w:rsid w:val="00C413ED"/>
    <w:rsid w:val="00C41A88"/>
    <w:rsid w:val="00C4282F"/>
    <w:rsid w:val="00C4338C"/>
    <w:rsid w:val="00C43DDF"/>
    <w:rsid w:val="00C5002C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664E3"/>
    <w:rsid w:val="00C70014"/>
    <w:rsid w:val="00C7261C"/>
    <w:rsid w:val="00C75ADC"/>
    <w:rsid w:val="00C81A30"/>
    <w:rsid w:val="00C81A57"/>
    <w:rsid w:val="00C828C9"/>
    <w:rsid w:val="00C84BA0"/>
    <w:rsid w:val="00C90196"/>
    <w:rsid w:val="00C90321"/>
    <w:rsid w:val="00C919DC"/>
    <w:rsid w:val="00C919E4"/>
    <w:rsid w:val="00C94DB7"/>
    <w:rsid w:val="00CA2DAD"/>
    <w:rsid w:val="00CA403E"/>
    <w:rsid w:val="00CA4B0B"/>
    <w:rsid w:val="00CA7FA6"/>
    <w:rsid w:val="00CB2677"/>
    <w:rsid w:val="00CB40DD"/>
    <w:rsid w:val="00CB68EA"/>
    <w:rsid w:val="00CB6E0F"/>
    <w:rsid w:val="00CB7F0E"/>
    <w:rsid w:val="00CC0A24"/>
    <w:rsid w:val="00CC137D"/>
    <w:rsid w:val="00CC1D37"/>
    <w:rsid w:val="00CC3403"/>
    <w:rsid w:val="00CC4AB5"/>
    <w:rsid w:val="00CD30ED"/>
    <w:rsid w:val="00CD3BC8"/>
    <w:rsid w:val="00CD4F35"/>
    <w:rsid w:val="00CE473F"/>
    <w:rsid w:val="00CE7207"/>
    <w:rsid w:val="00CF3E5B"/>
    <w:rsid w:val="00CF3FEE"/>
    <w:rsid w:val="00CF6B62"/>
    <w:rsid w:val="00CF7E0E"/>
    <w:rsid w:val="00D03175"/>
    <w:rsid w:val="00D04DF9"/>
    <w:rsid w:val="00D0606E"/>
    <w:rsid w:val="00D06A12"/>
    <w:rsid w:val="00D06A7C"/>
    <w:rsid w:val="00D07000"/>
    <w:rsid w:val="00D07233"/>
    <w:rsid w:val="00D073A1"/>
    <w:rsid w:val="00D10F12"/>
    <w:rsid w:val="00D127AA"/>
    <w:rsid w:val="00D17D71"/>
    <w:rsid w:val="00D2009D"/>
    <w:rsid w:val="00D26AC2"/>
    <w:rsid w:val="00D301DB"/>
    <w:rsid w:val="00D3118C"/>
    <w:rsid w:val="00D31C6F"/>
    <w:rsid w:val="00D31E18"/>
    <w:rsid w:val="00D332BA"/>
    <w:rsid w:val="00D3397F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2130"/>
    <w:rsid w:val="00D6418A"/>
    <w:rsid w:val="00D643E6"/>
    <w:rsid w:val="00D652B6"/>
    <w:rsid w:val="00D657E9"/>
    <w:rsid w:val="00D72D49"/>
    <w:rsid w:val="00D762B4"/>
    <w:rsid w:val="00D778C1"/>
    <w:rsid w:val="00D8065F"/>
    <w:rsid w:val="00D83362"/>
    <w:rsid w:val="00D86EF7"/>
    <w:rsid w:val="00D92F0A"/>
    <w:rsid w:val="00D96152"/>
    <w:rsid w:val="00D96730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E000F1"/>
    <w:rsid w:val="00E00114"/>
    <w:rsid w:val="00E06483"/>
    <w:rsid w:val="00E1590D"/>
    <w:rsid w:val="00E20EDC"/>
    <w:rsid w:val="00E238EF"/>
    <w:rsid w:val="00E26324"/>
    <w:rsid w:val="00E30C46"/>
    <w:rsid w:val="00E312EE"/>
    <w:rsid w:val="00E3403E"/>
    <w:rsid w:val="00E400D8"/>
    <w:rsid w:val="00E40C77"/>
    <w:rsid w:val="00E40EFD"/>
    <w:rsid w:val="00E425EB"/>
    <w:rsid w:val="00E43BBC"/>
    <w:rsid w:val="00E4791D"/>
    <w:rsid w:val="00E50389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0094"/>
    <w:rsid w:val="00EE5CCA"/>
    <w:rsid w:val="00EE6AD7"/>
    <w:rsid w:val="00EE6DAD"/>
    <w:rsid w:val="00EE7D4B"/>
    <w:rsid w:val="00EF31E8"/>
    <w:rsid w:val="00EF3D93"/>
    <w:rsid w:val="00EF6A63"/>
    <w:rsid w:val="00EF71CF"/>
    <w:rsid w:val="00F006CD"/>
    <w:rsid w:val="00F055E5"/>
    <w:rsid w:val="00F06DD6"/>
    <w:rsid w:val="00F07BFA"/>
    <w:rsid w:val="00F13655"/>
    <w:rsid w:val="00F14E43"/>
    <w:rsid w:val="00F15171"/>
    <w:rsid w:val="00F16069"/>
    <w:rsid w:val="00F17EAA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2DC1"/>
    <w:rsid w:val="00F4312A"/>
    <w:rsid w:val="00F478FC"/>
    <w:rsid w:val="00F5205E"/>
    <w:rsid w:val="00F5735D"/>
    <w:rsid w:val="00F63E87"/>
    <w:rsid w:val="00F652D1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0BFA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696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1921"/>
    <w:rsid w:val="00FD2FDE"/>
    <w:rsid w:val="00FD4690"/>
    <w:rsid w:val="00FD7D2B"/>
    <w:rsid w:val="00FE0B68"/>
    <w:rsid w:val="00FE260B"/>
    <w:rsid w:val="00FE2FE7"/>
    <w:rsid w:val="00FE6E37"/>
    <w:rsid w:val="00FE71EA"/>
    <w:rsid w:val="00FF3D6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A0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uni-pannon.hu/index.php/koernyezetmernoeki-intezet" TargetMode="External"/><Relationship Id="rId18" Type="http://schemas.openxmlformats.org/officeDocument/2006/relationships/hyperlink" Target="http://mk.uni-pannon.hu/index.php/koernyezetmernoeki-intez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kweb.uni-pannon.hu/tudasta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yvtar.uni-pannon.hu/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konyvtar.uni-pannon.hu/hu/node/26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3.6.34.220:8992/F" TargetMode="External"/><Relationship Id="rId14" Type="http://schemas.openxmlformats.org/officeDocument/2006/relationships/hyperlink" Target="http://www.felvi.h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1D9D-E9D0-4825-B1CE-0F9D5E4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7856</Words>
  <Characters>51750</Characters>
  <Application>Microsoft Office Word</Application>
  <DocSecurity>4</DocSecurity>
  <Lines>431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59488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feketer</cp:lastModifiedBy>
  <cp:revision>2</cp:revision>
  <cp:lastPrinted>2017-05-03T10:35:00Z</cp:lastPrinted>
  <dcterms:created xsi:type="dcterms:W3CDTF">2017-05-03T12:20:00Z</dcterms:created>
  <dcterms:modified xsi:type="dcterms:W3CDTF">2017-05-03T12:20:00Z</dcterms:modified>
</cp:coreProperties>
</file>