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42" w:rsidRDefault="00CA7926" w:rsidP="0034208D">
      <w:pPr>
        <w:spacing w:before="2040"/>
        <w:jc w:val="center"/>
        <w:rPr>
          <w:b/>
          <w:bCs/>
          <w:caps/>
          <w:sz w:val="48"/>
          <w:szCs w:val="48"/>
        </w:rPr>
      </w:pPr>
      <w:r>
        <w:rPr>
          <w:b/>
          <w:bCs/>
          <w:caps/>
          <w:sz w:val="48"/>
          <w:szCs w:val="48"/>
        </w:rPr>
        <w:t>önértékelés</w:t>
      </w:r>
      <w:bookmarkStart w:id="0" w:name="_GoBack"/>
      <w:bookmarkEnd w:id="0"/>
    </w:p>
    <w:p w:rsidR="002E79C9" w:rsidRPr="00DA7CA3" w:rsidRDefault="002E79C9" w:rsidP="003A5E47">
      <w:pPr>
        <w:spacing w:before="600"/>
        <w:jc w:val="center"/>
        <w:rPr>
          <w:b/>
          <w:bCs/>
          <w:sz w:val="48"/>
          <w:szCs w:val="48"/>
        </w:rPr>
      </w:pPr>
      <w:r w:rsidRPr="00DA7CA3">
        <w:rPr>
          <w:b/>
          <w:bCs/>
          <w:sz w:val="48"/>
          <w:szCs w:val="48"/>
        </w:rPr>
        <w:t>a</w:t>
      </w:r>
      <w:r w:rsidR="00243A0D" w:rsidRPr="00DA7CA3">
        <w:rPr>
          <w:b/>
          <w:bCs/>
          <w:sz w:val="48"/>
          <w:szCs w:val="48"/>
        </w:rPr>
        <w:t xml:space="preserve">   </w:t>
      </w:r>
      <w:r w:rsidR="00231E69" w:rsidRPr="00DA7CA3">
        <w:rPr>
          <w:b/>
          <w:bCs/>
          <w:sz w:val="48"/>
          <w:szCs w:val="48"/>
        </w:rPr>
        <w:t>Vegyész</w:t>
      </w:r>
      <w:r w:rsidR="00243A0D" w:rsidRPr="00DA7CA3">
        <w:rPr>
          <w:b/>
          <w:bCs/>
          <w:caps/>
          <w:sz w:val="48"/>
          <w:szCs w:val="48"/>
        </w:rPr>
        <w:t xml:space="preserve">  </w:t>
      </w:r>
      <w:r w:rsidR="00231E69" w:rsidRPr="00DA7CA3">
        <w:rPr>
          <w:b/>
          <w:bCs/>
          <w:sz w:val="48"/>
          <w:szCs w:val="48"/>
        </w:rPr>
        <w:t>mester</w:t>
      </w:r>
      <w:r w:rsidR="00130D99" w:rsidRPr="00DA7CA3">
        <w:rPr>
          <w:b/>
          <w:bCs/>
          <w:sz w:val="48"/>
          <w:szCs w:val="48"/>
        </w:rPr>
        <w:t>s</w:t>
      </w:r>
      <w:r w:rsidRPr="00DA7CA3">
        <w:rPr>
          <w:b/>
          <w:bCs/>
          <w:sz w:val="48"/>
          <w:szCs w:val="48"/>
        </w:rPr>
        <w:t>zak</w:t>
      </w:r>
    </w:p>
    <w:p w:rsidR="002E79C9" w:rsidRPr="00DA7CA3" w:rsidRDefault="002E79C9" w:rsidP="003A5E47">
      <w:pPr>
        <w:jc w:val="center"/>
        <w:rPr>
          <w:b/>
          <w:bCs/>
          <w:sz w:val="48"/>
          <w:szCs w:val="48"/>
        </w:rPr>
      </w:pPr>
      <w:r w:rsidRPr="00DA7CA3">
        <w:rPr>
          <w:b/>
          <w:bCs/>
          <w:sz w:val="48"/>
          <w:szCs w:val="48"/>
        </w:rPr>
        <w:t>20</w:t>
      </w:r>
      <w:r w:rsidR="00B7182D" w:rsidRPr="00DA7CA3">
        <w:rPr>
          <w:b/>
          <w:bCs/>
          <w:sz w:val="48"/>
          <w:szCs w:val="48"/>
        </w:rPr>
        <w:t>1</w:t>
      </w:r>
      <w:r w:rsidR="008575CE" w:rsidRPr="00DA7CA3">
        <w:rPr>
          <w:b/>
          <w:bCs/>
          <w:sz w:val="48"/>
          <w:szCs w:val="48"/>
        </w:rPr>
        <w:t>7</w:t>
      </w:r>
      <w:r w:rsidRPr="00DA7CA3">
        <w:rPr>
          <w:b/>
          <w:bCs/>
          <w:sz w:val="48"/>
          <w:szCs w:val="48"/>
        </w:rPr>
        <w:t>/20</w:t>
      </w:r>
      <w:r w:rsidR="00931D0F" w:rsidRPr="00DA7CA3">
        <w:rPr>
          <w:b/>
          <w:bCs/>
          <w:sz w:val="48"/>
          <w:szCs w:val="48"/>
        </w:rPr>
        <w:t>1</w:t>
      </w:r>
      <w:r w:rsidR="008575CE" w:rsidRPr="00DA7CA3">
        <w:rPr>
          <w:b/>
          <w:bCs/>
          <w:sz w:val="48"/>
          <w:szCs w:val="48"/>
        </w:rPr>
        <w:t>8</w:t>
      </w:r>
      <w:r w:rsidRPr="00DA7CA3">
        <w:rPr>
          <w:b/>
          <w:bCs/>
          <w:sz w:val="48"/>
          <w:szCs w:val="48"/>
        </w:rPr>
        <w:t>. tanévéről</w:t>
      </w:r>
    </w:p>
    <w:p w:rsidR="002E79C9" w:rsidRPr="009E1D90" w:rsidRDefault="00243A0D" w:rsidP="00EC5AFE">
      <w:pPr>
        <w:spacing w:before="1440" w:after="480"/>
        <w:jc w:val="center"/>
        <w:rPr>
          <w:b/>
          <w:bCs/>
          <w:sz w:val="28"/>
          <w:szCs w:val="28"/>
        </w:rPr>
      </w:pPr>
      <w:r w:rsidRPr="00712E32">
        <w:rPr>
          <w:b/>
          <w:bCs/>
          <w:sz w:val="28"/>
          <w:szCs w:val="28"/>
        </w:rPr>
        <w:t>Tartalomjegyzék</w:t>
      </w:r>
    </w:p>
    <w:p w:rsidR="00B81A1B" w:rsidRDefault="00826A9A">
      <w:pPr>
        <w:pStyle w:val="TJ1"/>
        <w:tabs>
          <w:tab w:val="left" w:pos="480"/>
        </w:tabs>
        <w:rPr>
          <w:noProof/>
        </w:rPr>
      </w:pPr>
      <w:r>
        <w:fldChar w:fldCharType="begin"/>
      </w:r>
      <w:r>
        <w:instrText xml:space="preserve"> TOC \o "1-3" \h \z \u </w:instrText>
      </w:r>
      <w:r>
        <w:fldChar w:fldCharType="separate"/>
      </w:r>
      <w:hyperlink w:anchor="_Toc289601768" w:history="1">
        <w:r w:rsidR="00B81A1B" w:rsidRPr="006335A4">
          <w:rPr>
            <w:rStyle w:val="Hiperhivatkozs"/>
            <w:noProof/>
          </w:rPr>
          <w:t>0.</w:t>
        </w:r>
        <w:r w:rsidR="00B81A1B">
          <w:rPr>
            <w:noProof/>
          </w:rPr>
          <w:tab/>
        </w:r>
        <w:r w:rsidR="00B81A1B" w:rsidRPr="006335A4">
          <w:rPr>
            <w:rStyle w:val="Hiperhivatkozs"/>
            <w:noProof/>
          </w:rPr>
          <w:t>A szak alapadatai, az akkreditációs feltételeknek történő megfelelése</w:t>
        </w:r>
        <w:r w:rsidR="00B81A1B">
          <w:rPr>
            <w:noProof/>
            <w:webHidden/>
          </w:rPr>
          <w:tab/>
        </w:r>
        <w:r w:rsidR="00B81A1B">
          <w:rPr>
            <w:noProof/>
            <w:webHidden/>
          </w:rPr>
          <w:fldChar w:fldCharType="begin"/>
        </w:r>
        <w:r w:rsidR="00B81A1B">
          <w:rPr>
            <w:noProof/>
            <w:webHidden/>
          </w:rPr>
          <w:instrText xml:space="preserve"> PAGEREF _Toc289601768 \h </w:instrText>
        </w:r>
        <w:r w:rsidR="00B81A1B">
          <w:rPr>
            <w:noProof/>
            <w:webHidden/>
          </w:rPr>
        </w:r>
        <w:r w:rsidR="00B81A1B">
          <w:rPr>
            <w:noProof/>
            <w:webHidden/>
          </w:rPr>
          <w:fldChar w:fldCharType="separate"/>
        </w:r>
        <w:r w:rsidR="00B81A1B">
          <w:rPr>
            <w:noProof/>
            <w:webHidden/>
          </w:rPr>
          <w:t>2</w:t>
        </w:r>
        <w:r w:rsidR="00B81A1B">
          <w:rPr>
            <w:noProof/>
            <w:webHidden/>
          </w:rPr>
          <w:fldChar w:fldCharType="end"/>
        </w:r>
      </w:hyperlink>
    </w:p>
    <w:p w:rsidR="00B81A1B" w:rsidRDefault="00DA7CA3">
      <w:pPr>
        <w:pStyle w:val="TJ1"/>
        <w:tabs>
          <w:tab w:val="left" w:pos="480"/>
        </w:tabs>
        <w:rPr>
          <w:noProof/>
        </w:rPr>
      </w:pPr>
      <w:hyperlink w:anchor="_Toc289601769" w:history="1">
        <w:r w:rsidR="00B81A1B" w:rsidRPr="006335A4">
          <w:rPr>
            <w:rStyle w:val="Hiperhivatkozs"/>
            <w:noProof/>
          </w:rPr>
          <w:t>1.</w:t>
        </w:r>
        <w:r w:rsidR="00B81A1B">
          <w:rPr>
            <w:noProof/>
          </w:rPr>
          <w:tab/>
        </w:r>
        <w:r w:rsidR="00B81A1B" w:rsidRPr="006335A4">
          <w:rPr>
            <w:rStyle w:val="Hiperhivatkozs"/>
            <w:noProof/>
          </w:rPr>
          <w:t>Felvételi adatok</w:t>
        </w:r>
        <w:r w:rsidR="00B81A1B">
          <w:rPr>
            <w:noProof/>
            <w:webHidden/>
          </w:rPr>
          <w:tab/>
        </w:r>
        <w:r w:rsidR="00B81A1B">
          <w:rPr>
            <w:noProof/>
            <w:webHidden/>
          </w:rPr>
          <w:fldChar w:fldCharType="begin"/>
        </w:r>
        <w:r w:rsidR="00B81A1B">
          <w:rPr>
            <w:noProof/>
            <w:webHidden/>
          </w:rPr>
          <w:instrText xml:space="preserve"> PAGEREF _Toc289601769 \h </w:instrText>
        </w:r>
        <w:r w:rsidR="00B81A1B">
          <w:rPr>
            <w:noProof/>
            <w:webHidden/>
          </w:rPr>
        </w:r>
        <w:r w:rsidR="00B81A1B">
          <w:rPr>
            <w:noProof/>
            <w:webHidden/>
          </w:rPr>
          <w:fldChar w:fldCharType="separate"/>
        </w:r>
        <w:r w:rsidR="00B81A1B">
          <w:rPr>
            <w:noProof/>
            <w:webHidden/>
          </w:rPr>
          <w:t>5</w:t>
        </w:r>
        <w:r w:rsidR="00B81A1B">
          <w:rPr>
            <w:noProof/>
            <w:webHidden/>
          </w:rPr>
          <w:fldChar w:fldCharType="end"/>
        </w:r>
      </w:hyperlink>
    </w:p>
    <w:p w:rsidR="00B81A1B" w:rsidRDefault="00DA7CA3">
      <w:pPr>
        <w:pStyle w:val="TJ1"/>
        <w:tabs>
          <w:tab w:val="left" w:pos="480"/>
        </w:tabs>
        <w:rPr>
          <w:noProof/>
        </w:rPr>
      </w:pPr>
      <w:hyperlink w:anchor="_Toc289601770" w:history="1">
        <w:r w:rsidR="00B81A1B" w:rsidRPr="006335A4">
          <w:rPr>
            <w:rStyle w:val="Hiperhivatkozs"/>
            <w:noProof/>
          </w:rPr>
          <w:t>2.</w:t>
        </w:r>
        <w:r w:rsidR="00B81A1B">
          <w:rPr>
            <w:noProof/>
          </w:rPr>
          <w:tab/>
        </w:r>
        <w:r w:rsidR="00B81A1B" w:rsidRPr="006335A4">
          <w:rPr>
            <w:rStyle w:val="Hiperhivatkozs"/>
            <w:noProof/>
          </w:rPr>
          <w:t>A szak hallgatóinak létszámváltozása</w:t>
        </w:r>
        <w:r w:rsidR="00B81A1B">
          <w:rPr>
            <w:noProof/>
            <w:webHidden/>
          </w:rPr>
          <w:tab/>
        </w:r>
        <w:r w:rsidR="00B81A1B">
          <w:rPr>
            <w:noProof/>
            <w:webHidden/>
          </w:rPr>
          <w:fldChar w:fldCharType="begin"/>
        </w:r>
        <w:r w:rsidR="00B81A1B">
          <w:rPr>
            <w:noProof/>
            <w:webHidden/>
          </w:rPr>
          <w:instrText xml:space="preserve"> PAGEREF _Toc289601770 \h </w:instrText>
        </w:r>
        <w:r w:rsidR="00B81A1B">
          <w:rPr>
            <w:noProof/>
            <w:webHidden/>
          </w:rPr>
        </w:r>
        <w:r w:rsidR="00B81A1B">
          <w:rPr>
            <w:noProof/>
            <w:webHidden/>
          </w:rPr>
          <w:fldChar w:fldCharType="separate"/>
        </w:r>
        <w:r w:rsidR="00B81A1B">
          <w:rPr>
            <w:noProof/>
            <w:webHidden/>
          </w:rPr>
          <w:t>6</w:t>
        </w:r>
        <w:r w:rsidR="00B81A1B">
          <w:rPr>
            <w:noProof/>
            <w:webHidden/>
          </w:rPr>
          <w:fldChar w:fldCharType="end"/>
        </w:r>
      </w:hyperlink>
    </w:p>
    <w:p w:rsidR="00B81A1B" w:rsidRDefault="00DA7CA3">
      <w:pPr>
        <w:pStyle w:val="TJ1"/>
        <w:tabs>
          <w:tab w:val="left" w:pos="480"/>
        </w:tabs>
        <w:rPr>
          <w:noProof/>
        </w:rPr>
      </w:pPr>
      <w:hyperlink w:anchor="_Toc289601771" w:history="1">
        <w:r w:rsidR="00B81A1B" w:rsidRPr="006335A4">
          <w:rPr>
            <w:rStyle w:val="Hiperhivatkozs"/>
            <w:noProof/>
          </w:rPr>
          <w:t>3.</w:t>
        </w:r>
        <w:r w:rsidR="00B81A1B">
          <w:rPr>
            <w:noProof/>
          </w:rPr>
          <w:tab/>
        </w:r>
        <w:r w:rsidR="00B81A1B" w:rsidRPr="006335A4">
          <w:rPr>
            <w:rStyle w:val="Hiperhivatkozs"/>
            <w:noProof/>
          </w:rPr>
          <w:t>Tantárgyi teljesítések</w:t>
        </w:r>
        <w:r w:rsidR="00B81A1B">
          <w:rPr>
            <w:noProof/>
            <w:webHidden/>
          </w:rPr>
          <w:tab/>
        </w:r>
        <w:r w:rsidR="00B81A1B">
          <w:rPr>
            <w:noProof/>
            <w:webHidden/>
          </w:rPr>
          <w:fldChar w:fldCharType="begin"/>
        </w:r>
        <w:r w:rsidR="00B81A1B">
          <w:rPr>
            <w:noProof/>
            <w:webHidden/>
          </w:rPr>
          <w:instrText xml:space="preserve"> PAGEREF _Toc289601771 \h </w:instrText>
        </w:r>
        <w:r w:rsidR="00B81A1B">
          <w:rPr>
            <w:noProof/>
            <w:webHidden/>
          </w:rPr>
        </w:r>
        <w:r w:rsidR="00B81A1B">
          <w:rPr>
            <w:noProof/>
            <w:webHidden/>
          </w:rPr>
          <w:fldChar w:fldCharType="separate"/>
        </w:r>
        <w:r w:rsidR="00B81A1B">
          <w:rPr>
            <w:noProof/>
            <w:webHidden/>
          </w:rPr>
          <w:t>7</w:t>
        </w:r>
        <w:r w:rsidR="00B81A1B">
          <w:rPr>
            <w:noProof/>
            <w:webHidden/>
          </w:rPr>
          <w:fldChar w:fldCharType="end"/>
        </w:r>
      </w:hyperlink>
    </w:p>
    <w:p w:rsidR="00B81A1B" w:rsidRDefault="00DA7CA3">
      <w:pPr>
        <w:pStyle w:val="TJ1"/>
        <w:tabs>
          <w:tab w:val="left" w:pos="480"/>
        </w:tabs>
        <w:rPr>
          <w:noProof/>
        </w:rPr>
      </w:pPr>
      <w:hyperlink w:anchor="_Toc289601772" w:history="1">
        <w:r w:rsidR="00B81A1B" w:rsidRPr="006335A4">
          <w:rPr>
            <w:rStyle w:val="Hiperhivatkozs"/>
            <w:noProof/>
          </w:rPr>
          <w:t>4.</w:t>
        </w:r>
        <w:r w:rsidR="00B81A1B">
          <w:rPr>
            <w:noProof/>
          </w:rPr>
          <w:tab/>
        </w:r>
        <w:r w:rsidR="00B81A1B" w:rsidRPr="006335A4">
          <w:rPr>
            <w:rStyle w:val="Hiperhivatkozs"/>
            <w:noProof/>
          </w:rPr>
          <w:t>Záróvizsga értékelése</w:t>
        </w:r>
        <w:r w:rsidR="00B81A1B">
          <w:rPr>
            <w:noProof/>
            <w:webHidden/>
          </w:rPr>
          <w:tab/>
        </w:r>
        <w:r w:rsidR="00B81A1B">
          <w:rPr>
            <w:noProof/>
            <w:webHidden/>
          </w:rPr>
          <w:fldChar w:fldCharType="begin"/>
        </w:r>
        <w:r w:rsidR="00B81A1B">
          <w:rPr>
            <w:noProof/>
            <w:webHidden/>
          </w:rPr>
          <w:instrText xml:space="preserve"> PAGEREF _Toc289601772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DA7CA3">
      <w:pPr>
        <w:pStyle w:val="TJ1"/>
        <w:tabs>
          <w:tab w:val="left" w:pos="480"/>
        </w:tabs>
        <w:rPr>
          <w:noProof/>
        </w:rPr>
      </w:pPr>
      <w:hyperlink w:anchor="_Toc289601773" w:history="1">
        <w:r w:rsidR="00B81A1B" w:rsidRPr="006335A4">
          <w:rPr>
            <w:rStyle w:val="Hiperhivatkozs"/>
            <w:noProof/>
          </w:rPr>
          <w:t>5.</w:t>
        </w:r>
        <w:r w:rsidR="00B81A1B">
          <w:rPr>
            <w:noProof/>
          </w:rPr>
          <w:tab/>
        </w:r>
        <w:r w:rsidR="00B81A1B" w:rsidRPr="006335A4">
          <w:rPr>
            <w:rStyle w:val="Hiperhivatkozs"/>
            <w:noProof/>
          </w:rPr>
          <w:t>A képzési folyamat és eredményei</w:t>
        </w:r>
        <w:r w:rsidR="00B81A1B">
          <w:rPr>
            <w:noProof/>
            <w:webHidden/>
          </w:rPr>
          <w:tab/>
        </w:r>
        <w:r w:rsidR="00B81A1B">
          <w:rPr>
            <w:noProof/>
            <w:webHidden/>
          </w:rPr>
          <w:fldChar w:fldCharType="begin"/>
        </w:r>
        <w:r w:rsidR="00B81A1B">
          <w:rPr>
            <w:noProof/>
            <w:webHidden/>
          </w:rPr>
          <w:instrText xml:space="preserve"> PAGEREF _Toc289601773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DA7CA3">
      <w:pPr>
        <w:pStyle w:val="TJ1"/>
        <w:tabs>
          <w:tab w:val="left" w:pos="480"/>
        </w:tabs>
        <w:rPr>
          <w:noProof/>
        </w:rPr>
      </w:pPr>
      <w:hyperlink w:anchor="_Toc289601774" w:history="1">
        <w:r w:rsidR="00B81A1B" w:rsidRPr="006335A4">
          <w:rPr>
            <w:rStyle w:val="Hiperhivatkozs"/>
            <w:noProof/>
          </w:rPr>
          <w:t>6.</w:t>
        </w:r>
        <w:r w:rsidR="00B81A1B">
          <w:rPr>
            <w:noProof/>
          </w:rPr>
          <w:tab/>
        </w:r>
        <w:r w:rsidR="00B81A1B" w:rsidRPr="006335A4">
          <w:rPr>
            <w:rStyle w:val="Hiperhivatkozs"/>
            <w:noProof/>
          </w:rPr>
          <w:t>Minőségbiztosítás, minőségfejlesztés</w:t>
        </w:r>
        <w:r w:rsidR="00B81A1B">
          <w:rPr>
            <w:noProof/>
            <w:webHidden/>
          </w:rPr>
          <w:tab/>
        </w:r>
        <w:r w:rsidR="00B81A1B">
          <w:rPr>
            <w:noProof/>
            <w:webHidden/>
          </w:rPr>
          <w:fldChar w:fldCharType="begin"/>
        </w:r>
        <w:r w:rsidR="00B81A1B">
          <w:rPr>
            <w:noProof/>
            <w:webHidden/>
          </w:rPr>
          <w:instrText xml:space="preserve"> PAGEREF _Toc289601774 \h </w:instrText>
        </w:r>
        <w:r w:rsidR="00B81A1B">
          <w:rPr>
            <w:noProof/>
            <w:webHidden/>
          </w:rPr>
        </w:r>
        <w:r w:rsidR="00B81A1B">
          <w:rPr>
            <w:noProof/>
            <w:webHidden/>
          </w:rPr>
          <w:fldChar w:fldCharType="separate"/>
        </w:r>
        <w:r w:rsidR="00B81A1B">
          <w:rPr>
            <w:noProof/>
            <w:webHidden/>
          </w:rPr>
          <w:t>9</w:t>
        </w:r>
        <w:r w:rsidR="00B81A1B">
          <w:rPr>
            <w:noProof/>
            <w:webHidden/>
          </w:rPr>
          <w:fldChar w:fldCharType="end"/>
        </w:r>
      </w:hyperlink>
    </w:p>
    <w:p w:rsidR="00B81A1B" w:rsidRDefault="00DA7CA3">
      <w:pPr>
        <w:pStyle w:val="TJ1"/>
        <w:tabs>
          <w:tab w:val="left" w:pos="480"/>
        </w:tabs>
        <w:rPr>
          <w:noProof/>
        </w:rPr>
      </w:pPr>
      <w:hyperlink w:anchor="_Toc289601775" w:history="1">
        <w:r w:rsidR="00B81A1B" w:rsidRPr="006335A4">
          <w:rPr>
            <w:rStyle w:val="Hiperhivatkozs"/>
            <w:noProof/>
          </w:rPr>
          <w:t>7.</w:t>
        </w:r>
        <w:r w:rsidR="00B81A1B">
          <w:rPr>
            <w:noProof/>
          </w:rPr>
          <w:tab/>
        </w:r>
        <w:r w:rsidR="00B81A1B" w:rsidRPr="006335A4">
          <w:rPr>
            <w:rStyle w:val="Hiperhivatkozs"/>
            <w:noProof/>
          </w:rPr>
          <w:t>Felhasználói szempontok érvényesülése – szakra vonatkozó kapcsolati formák</w:t>
        </w:r>
        <w:r w:rsidR="00B81A1B">
          <w:rPr>
            <w:noProof/>
            <w:webHidden/>
          </w:rPr>
          <w:tab/>
        </w:r>
        <w:r w:rsidR="00B81A1B">
          <w:rPr>
            <w:noProof/>
            <w:webHidden/>
          </w:rPr>
          <w:fldChar w:fldCharType="begin"/>
        </w:r>
        <w:r w:rsidR="00B81A1B">
          <w:rPr>
            <w:noProof/>
            <w:webHidden/>
          </w:rPr>
          <w:instrText xml:space="preserve"> PAGEREF _Toc289601775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DA7CA3">
      <w:pPr>
        <w:pStyle w:val="TJ1"/>
        <w:tabs>
          <w:tab w:val="left" w:pos="480"/>
        </w:tabs>
        <w:rPr>
          <w:noProof/>
        </w:rPr>
      </w:pPr>
      <w:hyperlink w:anchor="_Toc289601776" w:history="1">
        <w:r w:rsidR="00B81A1B" w:rsidRPr="006335A4">
          <w:rPr>
            <w:rStyle w:val="Hiperhivatkozs"/>
            <w:noProof/>
          </w:rPr>
          <w:t>8.</w:t>
        </w:r>
        <w:r w:rsidR="00B81A1B">
          <w:rPr>
            <w:noProof/>
          </w:rPr>
          <w:tab/>
        </w:r>
        <w:r w:rsidR="00B81A1B" w:rsidRPr="006335A4">
          <w:rPr>
            <w:rStyle w:val="Hiperhivatkozs"/>
            <w:noProof/>
          </w:rPr>
          <w:t>Minőségügyi akciók és eredményeik (korábbi intézkedések és hatásaik)</w:t>
        </w:r>
        <w:r w:rsidR="00B81A1B">
          <w:rPr>
            <w:noProof/>
            <w:webHidden/>
          </w:rPr>
          <w:tab/>
        </w:r>
        <w:r w:rsidR="00B81A1B">
          <w:rPr>
            <w:noProof/>
            <w:webHidden/>
          </w:rPr>
          <w:fldChar w:fldCharType="begin"/>
        </w:r>
        <w:r w:rsidR="00B81A1B">
          <w:rPr>
            <w:noProof/>
            <w:webHidden/>
          </w:rPr>
          <w:instrText xml:space="preserve"> PAGEREF _Toc289601776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DA7CA3">
      <w:pPr>
        <w:pStyle w:val="TJ1"/>
        <w:tabs>
          <w:tab w:val="left" w:pos="480"/>
        </w:tabs>
        <w:rPr>
          <w:noProof/>
        </w:rPr>
      </w:pPr>
      <w:hyperlink w:anchor="_Toc289601777" w:history="1">
        <w:r w:rsidR="00B81A1B" w:rsidRPr="006335A4">
          <w:rPr>
            <w:rStyle w:val="Hiperhivatkozs"/>
            <w:noProof/>
          </w:rPr>
          <w:t>9.</w:t>
        </w:r>
        <w:r w:rsidR="00B81A1B">
          <w:rPr>
            <w:noProof/>
          </w:rPr>
          <w:tab/>
        </w:r>
        <w:r w:rsidR="00B81A1B" w:rsidRPr="006335A4">
          <w:rPr>
            <w:rStyle w:val="Hiperhivatkozs"/>
            <w:noProof/>
          </w:rPr>
          <w:t>C-SWOT elemzés, Intézkedési javaslatok</w:t>
        </w:r>
        <w:r w:rsidR="00B81A1B">
          <w:rPr>
            <w:noProof/>
            <w:webHidden/>
          </w:rPr>
          <w:tab/>
        </w:r>
        <w:r w:rsidR="00B81A1B">
          <w:rPr>
            <w:noProof/>
            <w:webHidden/>
          </w:rPr>
          <w:fldChar w:fldCharType="begin"/>
        </w:r>
        <w:r w:rsidR="00B81A1B">
          <w:rPr>
            <w:noProof/>
            <w:webHidden/>
          </w:rPr>
          <w:instrText xml:space="preserve"> PAGEREF _Toc289601777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243A0D" w:rsidRDefault="00826A9A" w:rsidP="00243A0D">
      <w:pPr>
        <w:spacing w:before="240" w:after="240"/>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768"/>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16CA4">
      <w:r>
        <w:t>A vegyész mesterszak a Pannon Egyetem Veszprémi Kampuszának Mérnöki Karán indul a Kémia Intézet gondozásában. A képzés formája: nappali.</w:t>
      </w:r>
    </w:p>
    <w:p w:rsidR="006F25FA" w:rsidRDefault="006F25FA" w:rsidP="00016CA4"/>
    <w:p w:rsidR="006F25FA" w:rsidRPr="00AB1613" w:rsidRDefault="006F25FA" w:rsidP="006F25FA">
      <w:bookmarkStart w:id="4" w:name="_Toc276973481"/>
      <w:r>
        <w:t>A képzés tartalma</w:t>
      </w:r>
      <w:bookmarkEnd w:id="4"/>
    </w:p>
    <w:p w:rsidR="006F25FA" w:rsidRPr="00766D37" w:rsidRDefault="006F25FA" w:rsidP="006F25FA">
      <w:pPr>
        <w:spacing w:line="360" w:lineRule="auto"/>
        <w:ind w:firstLine="539"/>
        <w:jc w:val="both"/>
      </w:pPr>
      <w:r w:rsidRPr="00766D37">
        <w:t xml:space="preserve">A tanulmányi területek arányait az előírások alapján állítottuk össze. </w:t>
      </w:r>
      <w:r>
        <w:t>A vegyész mesterszak</w:t>
      </w:r>
      <w:r w:rsidRPr="00766D37">
        <w:t xml:space="preserve"> gyakorlatorientált képzés, ami a stúdiumok arányában is megnyilvánul (tantermi előadás </w:t>
      </w:r>
      <w:r>
        <w:t>46</w:t>
      </w:r>
      <w:r w:rsidRPr="00766D37">
        <w:t xml:space="preserve">%, szemináriumi foglalkozás </w:t>
      </w:r>
      <w:r>
        <w:t>11</w:t>
      </w:r>
      <w:r w:rsidRPr="00766D37">
        <w:t xml:space="preserve">%, laboratóriumi gyakorlat </w:t>
      </w:r>
      <w:r>
        <w:t>43</w:t>
      </w:r>
      <w:r w:rsidRPr="00766D37">
        <w:t>%). A foglalkozásokhoz szinte minden esetben tartozik nyomtatott oktatási segédletet, melyet legtöbbször elektronikusan is kiegészít</w:t>
      </w:r>
      <w:r>
        <w:t>ene</w:t>
      </w:r>
      <w:r w:rsidRPr="00766D37">
        <w:t xml:space="preserve">k az oktatók </w:t>
      </w:r>
      <w:r>
        <w:t>(</w:t>
      </w:r>
      <w:r w:rsidRPr="00766D37">
        <w:t xml:space="preserve"> Moodle </w:t>
      </w:r>
      <w:r>
        <w:t>).</w:t>
      </w:r>
    </w:p>
    <w:p w:rsidR="006F25FA" w:rsidRDefault="006F25FA" w:rsidP="006F25FA">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6F25FA" w:rsidRDefault="006F25FA" w:rsidP="006F25FA">
      <w:pPr>
        <w:spacing w:line="360" w:lineRule="auto"/>
        <w:ind w:firstLine="539"/>
        <w:jc w:val="both"/>
      </w:pPr>
      <w:r w:rsidRPr="00766D37">
        <w:t xml:space="preserve">A szakmai műhelyek magas színvonalú és szerteágazó kémiai kutatási lehetőséget biztosítanak a hallgatók számára, ez megmutatkozik </w:t>
      </w:r>
      <w:r>
        <w:t>a Tudományos Diákköri Konferencián való részvételben</w:t>
      </w:r>
      <w:r w:rsidRPr="00766D37">
        <w:t>.</w:t>
      </w:r>
      <w:r>
        <w:t xml:space="preserve"> </w:t>
      </w:r>
      <w:r w:rsidRPr="00766D37">
        <w:t xml:space="preserve">Minden alap- és alkalmazott kutatási, ill. fejlesztési munkában jelentős arányban vesznek részt hallgatóink (OTKA, TÉT, </w:t>
      </w:r>
      <w:r w:rsidR="008575CE">
        <w:t>GINOP, EFOP</w:t>
      </w:r>
      <w:r w:rsidRPr="00766D37">
        <w:t>).</w:t>
      </w:r>
    </w:p>
    <w:p w:rsidR="006F25FA" w:rsidRDefault="006F25FA" w:rsidP="006F25FA">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p>
    <w:p w:rsidR="006F25FA" w:rsidRDefault="006F25FA" w:rsidP="006F25FA">
      <w:pPr>
        <w:spacing w:line="360" w:lineRule="auto"/>
        <w:ind w:firstLine="539"/>
        <w:jc w:val="both"/>
      </w:pPr>
      <w:r>
        <w:t xml:space="preserve">A diplomatémákat a Szakterületi Bizottság fogadja el, a hallgatók a témaválasztást </w:t>
      </w:r>
      <w:r w:rsidR="008575CE">
        <w:t>a NEPTUN rendszerben rögzítik.</w:t>
      </w:r>
    </w:p>
    <w:p w:rsidR="00312CBD" w:rsidRPr="00333032" w:rsidRDefault="00312CBD" w:rsidP="00312CBD"/>
    <w:p w:rsidR="00312CBD" w:rsidRDefault="00312CBD" w:rsidP="00312CBD">
      <w:r>
        <w:rPr>
          <w:i/>
        </w:rPr>
        <w:t>B</w:t>
      </w:r>
      <w:r w:rsidRPr="00333032">
        <w:rPr>
          <w:i/>
        </w:rPr>
        <w:t>)</w:t>
      </w:r>
      <w:r w:rsidRPr="00333032">
        <w:rPr>
          <w:smallCaps/>
        </w:rPr>
        <w:t xml:space="preserve"> </w:t>
      </w:r>
      <w:r w:rsidRPr="00333032">
        <w:t>A KÉPZÉS SZEMÉLYI FELTÉTELEI</w:t>
      </w:r>
    </w:p>
    <w:p w:rsidR="00B81A1B" w:rsidRPr="00333032" w:rsidRDefault="00B81A1B" w:rsidP="00312CBD"/>
    <w:p w:rsidR="00312CBD" w:rsidRPr="00333032" w:rsidRDefault="00312CBD" w:rsidP="00B81A1B">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842"/>
        <w:gridCol w:w="1291"/>
        <w:gridCol w:w="1098"/>
        <w:gridCol w:w="1142"/>
        <w:gridCol w:w="1315"/>
        <w:gridCol w:w="1649"/>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Pr="00333032" w:rsidRDefault="00312CBD" w:rsidP="005E118F">
            <w:pPr>
              <w:jc w:val="center"/>
            </w:pPr>
            <w:r>
              <w:t>szv</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/Dr.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0D7E95"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8575CE" w:rsidP="008067B3">
            <w:pPr>
              <w:jc w:val="center"/>
            </w:pPr>
            <w:r>
              <w:t>6/24</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0D7E95"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0E740D" w:rsidP="002C5C84">
            <w:pPr>
              <w:jc w:val="center"/>
            </w:pPr>
            <w:r w:rsidRPr="002C5C84">
              <w:lastRenderedPageBreak/>
              <w:t>2 / 1</w:t>
            </w:r>
            <w:r w:rsidR="002C5C84">
              <w:t>2</w:t>
            </w:r>
          </w:p>
        </w:tc>
      </w:tr>
    </w:tbl>
    <w:p w:rsidR="00312CBD" w:rsidRPr="00B81A1B" w:rsidRDefault="00312CBD" w:rsidP="00B81A1B">
      <w:pPr>
        <w:rPr>
          <w:sz w:val="20"/>
          <w:szCs w:val="20"/>
        </w:rPr>
      </w:pPr>
      <w:r w:rsidRPr="00B81A1B">
        <w:rPr>
          <w:sz w:val="20"/>
          <w:szCs w:val="20"/>
        </w:rPr>
        <w:lastRenderedPageBreak/>
        <w:t>(A többi adatot a Kar elemzi, részletes tárgyfelelősökre vonatkozó elemzés ezért szakszinten nem szükséges)</w:t>
      </w:r>
    </w:p>
    <w:p w:rsidR="00312CBD" w:rsidRDefault="00312CBD" w:rsidP="00312CBD"/>
    <w:p w:rsidR="00E56D2B" w:rsidRPr="00E56D2B" w:rsidRDefault="00312CBD" w:rsidP="00E56D2B">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r w:rsidR="00E56D2B">
        <w:t xml:space="preserve"> S</w:t>
      </w:r>
      <w:r w:rsidR="00E56D2B" w:rsidRPr="00E56D2B">
        <w:t>zakirányok a viszonylag kis hallgatói létszám miatt külön nem indulnak, így azoknak felelősük sincs.</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312CBD" w:rsidRPr="00333032">
        <w:tc>
          <w:tcPr>
            <w:tcW w:w="5000" w:type="pct"/>
            <w:tcMar>
              <w:top w:w="57" w:type="dxa"/>
              <w:bottom w:w="57" w:type="dxa"/>
            </w:tcMar>
          </w:tcPr>
          <w:p w:rsidR="00312CBD" w:rsidRPr="00333032" w:rsidRDefault="00312CBD" w:rsidP="00DB45B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D41139" w:rsidRDefault="00D41139" w:rsidP="00D41139">
            <w:pPr>
              <w:tabs>
                <w:tab w:val="num" w:pos="284"/>
              </w:tabs>
              <w:jc w:val="both"/>
            </w:pPr>
            <w:r w:rsidRPr="00EE6ED8">
              <w:t>A mesterszakon összesen 1</w:t>
            </w:r>
            <w:r w:rsidR="008575CE">
              <w:t>7</w:t>
            </w:r>
            <w:r w:rsidRPr="00EE6ED8">
              <w:t xml:space="preserve"> kreditnyi természettudományos alapozó ismeret biztosítja, hogy a végzettek a rokon szakterületeken (pl. matematika, fizika, informatika) megfelelő szintű alaptudással rendelkezzenek. </w:t>
            </w:r>
          </w:p>
          <w:p w:rsidR="00D41139" w:rsidRPr="00EE6ED8" w:rsidRDefault="00D41139" w:rsidP="00D41139">
            <w:pPr>
              <w:tabs>
                <w:tab w:val="num" w:pos="284"/>
              </w:tabs>
              <w:jc w:val="both"/>
            </w:pPr>
            <w:r>
              <w:t>A mesterszakon a szakmai törzsanyagban oktatott tárgyak az alapszakon megszerzett ismeretekkel együtt biztosítják a kívánt ismertkörök megfelelő szintű elsajátítását. Az elvárt szakmai kompetenciák meglétét a szigorlatokkal és a záróvizsgával kívánjuk ellenőrizni.</w:t>
            </w:r>
          </w:p>
          <w:p w:rsidR="00D41139" w:rsidRPr="00D24C90" w:rsidRDefault="00D41139" w:rsidP="00D41139">
            <w:pPr>
              <w:tabs>
                <w:tab w:val="num" w:pos="284"/>
              </w:tabs>
              <w:jc w:val="both"/>
              <w:rPr>
                <w:i/>
              </w:rPr>
            </w:pPr>
            <w:r w:rsidRPr="00D24C90">
              <w:t xml:space="preserve">A szigorlatok tartalmazzák az alapszakon és a mesterszakon elsajátított, a szakmai törzsanyagba tartozó tárgyak ismeretköreit (Általános- és szervetlen kémia modul: Általános – és szervetlen kémia I-II, Koordinációs kémia, Elméleti szervetlen kémia, Kvantumkémia I-II; Szerves kémia modul: Szerves kémia I-IV; Fizikai kémia modul: Fizikai kémia I-III, Kolloidika I-II, Sugárzástani ismeretek). A záróvizsga a szigorlati tárgyként korábban nem választott általános- és szervetlen kémia vagy szerves kémia témaköreiből tett vizsga, beleértve a differenciált szakmai ismeretek moduljaiban oktatott megfelelő tárgyakat is. Így a szigorlatok és a záróvizsga teljesítése együttesen biztosítja a törzstantárgyak ismeretanyagának megfelelő szintű elsajátítását nem csak a Kémia alapszakról, hanem egyéb bemenetekről érkező hallgatók esetében is. </w:t>
            </w:r>
          </w:p>
          <w:p w:rsidR="00D41139" w:rsidRDefault="00D41139" w:rsidP="00D41139">
            <w:pPr>
              <w:autoSpaceDE w:val="0"/>
              <w:autoSpaceDN w:val="0"/>
              <w:adjustRightInd w:val="0"/>
              <w:jc w:val="both"/>
            </w:pPr>
            <w:r w:rsidRPr="00EE6ED8">
              <w:t xml:space="preserve">A szakmai törzsanyag tárgyainak </w:t>
            </w:r>
            <w:r w:rsidR="002B726A">
              <w:t>50</w:t>
            </w:r>
            <w:r w:rsidRPr="00EE6ED8">
              <w:t xml:space="preserve">%-át,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p>
          <w:p w:rsidR="00D41139" w:rsidRPr="00EE6ED8" w:rsidRDefault="00D41139" w:rsidP="00D41139">
            <w:pPr>
              <w:autoSpaceDE w:val="0"/>
              <w:autoSpaceDN w:val="0"/>
              <w:adjustRightInd w:val="0"/>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41139" w:rsidRPr="00EE6ED8" w:rsidRDefault="00D41139" w:rsidP="00D41139">
            <w:pPr>
              <w:autoSpaceDE w:val="0"/>
              <w:autoSpaceDN w:val="0"/>
              <w:adjustRightInd w:val="0"/>
              <w:jc w:val="both"/>
            </w:pPr>
            <w:r w:rsidRPr="00EE6ED8">
              <w:t>A szemináriumok és a laboratóriumi gyakorlatok teljesítéséhez elvárt önállóan kidolgozandó feladatok illetve elkészítendő mérési jegyzőkönyvek előkészítik a hallgatókat, hogy munkájuk során képesek legyenek problémák önálló tanulmányozására és megoldására, valamint a megszerzett tudás alkalmazására és gyakorlati hasznosítására.</w:t>
            </w:r>
          </w:p>
          <w:p w:rsidR="00D41139" w:rsidRPr="00EE6ED8" w:rsidRDefault="00D41139" w:rsidP="00D41139">
            <w:pPr>
              <w:autoSpaceDE w:val="0"/>
              <w:autoSpaceDN w:val="0"/>
              <w:adjustRightInd w:val="0"/>
              <w:jc w:val="both"/>
            </w:pPr>
            <w:r w:rsidRPr="00EE6ED8">
              <w:t xml:space="preserve">Az integrált kémiai laboratóriumi gyakorlatok mérései, illetve a képzésben résztvevő intézetekben hagyományosan elvárt, magas színvonalú diplomamunka elkészítése biztosítja, hogy a hallgatók megismerjék a kutatáshoz vagy tudományos munkához szükséges problémamegoldó technikák alkalmazását. A diplomamunka elkészítése során elvárjuk, hogy a hallgató képes legyen adott </w:t>
            </w:r>
            <w:r w:rsidRPr="00EE6ED8">
              <w:lastRenderedPageBreak/>
              <w:t>kutatási feladat önálló megtervezésére, végrehajtására, a megfelelő következtetések levonására és a kutatás további lehetséges irányainak kijelölésére. Elsősorban az irodalmi összefoglaló elkészítésénél, a kutatási irány megtervezésénél a hallgató számot ad szakma</w:t>
            </w:r>
            <w:r>
              <w:t>i idegen nyelvi ismereteiről is</w:t>
            </w:r>
            <w:r w:rsidRPr="00EE6ED8">
              <w:t xml:space="preserve">. A diplomamunkák minden esetben szorosan kapcsolódnak az egyes tudományos műhelyekben vagy doktori iskolákban folyó tudományos kutatáshoz, így a végzettek kellő jártasságra tesznek szert új eljárások, termékek kifejlesztésében, illetve önálló feladatok ellátására kémiai technológiai rendszerek fejlesztésében. </w:t>
            </w:r>
          </w:p>
          <w:p w:rsidR="00D41139" w:rsidRPr="00EE6ED8" w:rsidRDefault="00D41139" w:rsidP="00D41139">
            <w:pPr>
              <w:autoSpaceDE w:val="0"/>
              <w:autoSpaceDN w:val="0"/>
              <w:adjustRightInd w:val="0"/>
              <w:jc w:val="both"/>
            </w:pPr>
            <w:r w:rsidRPr="00EE6ED8">
              <w:t xml:space="preserve">A differenciált szakmai ismeretek modulokra bontásával </w:t>
            </w:r>
            <w:r w:rsidR="002B726A">
              <w:t>érjük el, hogy — a hallgató számára választási lehetőséget is hagyva — a főbb szakterületek mindegyikével kapcsolatban megfelelő tájékozottságot szerezzenek hallgatóink.</w:t>
            </w:r>
            <w:r w:rsidRPr="00EE6ED8">
              <w:t xml:space="preserve"> </w:t>
            </w:r>
          </w:p>
          <w:p w:rsidR="00D41139" w:rsidRPr="00EE6ED8" w:rsidRDefault="00D41139" w:rsidP="00D41139">
            <w:pPr>
              <w:autoSpaceDE w:val="0"/>
              <w:autoSpaceDN w:val="0"/>
              <w:adjustRightInd w:val="0"/>
              <w:jc w:val="both"/>
            </w:pPr>
            <w:r w:rsidRPr="00EE6ED8">
              <w:t>Emellett a szakmai törzsanyag és a differenciált ismeretek analitikai kémia modulja biztosítja az anyagok minőségi és mennyiségi vizsgálatára, a szerves kémiai-, szervetlen kémiai-, szintetikus kémiai modul az anyagok előállítására és kémiai átalakítására, az anyagtudományi- és anyagszerkezeti modul pedig szerkezetük meghatározására szolgáló módszerek megismerését. A környezeti kémiai modulban választható tantárgyak segítik a környezetgazdálkodásban és környezetvédelemben felhasználható ismeretek megszerzését.</w:t>
            </w:r>
          </w:p>
          <w:p w:rsidR="00D41139" w:rsidRPr="00EE6ED8" w:rsidRDefault="00D41139" w:rsidP="00D41139">
            <w:pPr>
              <w:autoSpaceDE w:val="0"/>
              <w:autoSpaceDN w:val="0"/>
              <w:adjustRightInd w:val="0"/>
              <w:jc w:val="both"/>
            </w:pPr>
            <w:r w:rsidRPr="00EE6ED8">
              <w:t xml:space="preserve">A számítógépes kommunikáció és elemzés módszereinek elsajátítását alapszakon a „Számítástechnika” és „Kémiai információkeresés” tárgyak, mesterszakon a kvantumkémiai laboratóriumi gyakorlatok során a kvantumkémiai programcsomagok alkalmazásánál szerzett ismeretek segítik. </w:t>
            </w:r>
          </w:p>
          <w:p w:rsidR="00D41139" w:rsidRDefault="00D41139" w:rsidP="00D41139">
            <w:pPr>
              <w:autoSpaceDE w:val="0"/>
              <w:autoSpaceDN w:val="0"/>
              <w:adjustRightInd w:val="0"/>
              <w:jc w:val="both"/>
            </w:pPr>
            <w:r w:rsidRPr="00EE6ED8">
              <w:t>A munkahelyi egészség és biztonság megismertetése nem külön tantárgy keretében történik. Minden egyes laboratóriumi gyakorlatot tartalmazó tantárgy a félév elején munkavédelmi oktatással, majd az ismeretek számonkérésével kezdődik. Így a munkavédelmi ismeretek elsajátítása az adott szaktárgy részét képezi. mind ezek az ismeretek, mind a „Differenciált szakmai ismerete” környezeti kémiai moduljának tantárgyai biztosítják, hogy a végzettek képesek legyenek a kémiai technológiai rendszerek biztonságos, környezettudatos működtetésére.</w:t>
            </w:r>
          </w:p>
          <w:p w:rsidR="00D41139" w:rsidRPr="00CB572A" w:rsidRDefault="00D41139" w:rsidP="00D41139">
            <w:pPr>
              <w:autoSpaceDE w:val="0"/>
              <w:autoSpaceDN w:val="0"/>
              <w:adjustRightInd w:val="0"/>
              <w:jc w:val="both"/>
            </w:pPr>
            <w:r>
              <w:t xml:space="preserve">A képzés során a hallgatók felkészülnek arra, hogy </w:t>
            </w:r>
            <w:r w:rsidRPr="00867594">
              <w:t>a szakterüle</w:t>
            </w:r>
            <w:r>
              <w:t>ttel kapcsolatos szolgáltatások</w:t>
            </w:r>
            <w:r w:rsidRPr="00867594">
              <w:t xml:space="preserve"> </w:t>
            </w:r>
            <w:r>
              <w:t xml:space="preserve">és a </w:t>
            </w:r>
            <w:r w:rsidRPr="00867594">
              <w:t>kereskedelmi</w:t>
            </w:r>
            <w:r>
              <w:t xml:space="preserve"> szféra területén is érvényesítsék sokoldalú tudásukat. E kompetenciák elsajátítását a szabadon választható tárgyak is segítik.</w:t>
            </w:r>
          </w:p>
          <w:p w:rsidR="00312CBD" w:rsidRPr="00B854FE" w:rsidRDefault="00312CBD" w:rsidP="00B854FE">
            <w:pPr>
              <w:ind w:left="360"/>
              <w:rPr>
                <w:bCs/>
              </w:rPr>
            </w:pPr>
          </w:p>
        </w:tc>
      </w:tr>
    </w:tbl>
    <w:p w:rsidR="00312CBD" w:rsidRPr="00333032" w:rsidRDefault="00312CBD" w:rsidP="00312CBD">
      <w:pPr>
        <w:tabs>
          <w:tab w:val="num" w:pos="284"/>
        </w:tabs>
        <w:spacing w:before="120"/>
        <w:rPr>
          <w:sz w:val="2"/>
          <w:szCs w:val="2"/>
        </w:rPr>
      </w:pPr>
    </w:p>
    <w:p w:rsidR="00CA1752" w:rsidRPr="00EC67EF" w:rsidRDefault="00CA1752" w:rsidP="00312CBD">
      <w:pPr>
        <w:spacing w:before="120"/>
        <w:rPr>
          <w:iCs/>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CA1752" w:rsidRPr="00333032" w:rsidRDefault="00CA1752"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4"/>
      </w:tblGrid>
      <w:tr w:rsidR="00312CBD" w:rsidRPr="00333032">
        <w:tc>
          <w:tcPr>
            <w:tcW w:w="5000" w:type="pct"/>
            <w:tcMar>
              <w:top w:w="57" w:type="dxa"/>
              <w:bottom w:w="57" w:type="dxa"/>
            </w:tcMar>
          </w:tcPr>
          <w:p w:rsidR="00312CBD" w:rsidRPr="00333032" w:rsidRDefault="00312CBD" w:rsidP="00DB45BA">
            <w:pPr>
              <w:ind w:left="-108"/>
              <w:rPr>
                <w:i/>
              </w:rPr>
            </w:pPr>
            <w:r w:rsidRPr="00333032">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DB67B2" w:rsidRPr="00DB67B2" w:rsidRDefault="001E5C20" w:rsidP="00DB45BA">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r w:rsidRPr="001E5C20">
              <w:t xml:space="preserve">http://mk.uni-pannon.hu/index.php?option=com_content&amp;task=view&amp;id=11&amp;Itemid=20 </w:t>
            </w:r>
            <w:r>
              <w:t xml:space="preserve">) valamelyikének munkájába. </w:t>
            </w:r>
            <w:r w:rsidRPr="00130B53">
              <w:t xml:space="preserve">E műhelyek közül </w:t>
            </w:r>
            <w:r>
              <w:t>7</w:t>
            </w:r>
            <w:r w:rsidRPr="00130B53">
              <w:t xml:space="preserve"> köthető közvetlenül a vegyész szak oktatás</w:t>
            </w:r>
            <w:r>
              <w:t xml:space="preserve">ában alapvető szerepet vállaló </w:t>
            </w:r>
            <w:r w:rsidRPr="00130B53">
              <w:t>intézetekhez.</w:t>
            </w:r>
            <w:r>
              <w:t xml:space="preserve"> </w:t>
            </w:r>
          </w:p>
          <w:p w:rsidR="00DB67B2" w:rsidRPr="00DB67B2" w:rsidRDefault="00DB67B2" w:rsidP="00DB45BA">
            <w:pPr>
              <w:ind w:left="-142" w:firstLine="142"/>
              <w:rPr>
                <w:i/>
              </w:rPr>
            </w:pPr>
            <w:r>
              <w:rPr>
                <w:i/>
              </w:rPr>
              <w:t xml:space="preserve">Analitikai </w:t>
            </w:r>
            <w:r w:rsidR="000D7E95">
              <w:rPr>
                <w:i/>
              </w:rPr>
              <w:t>E</w:t>
            </w:r>
            <w:r>
              <w:rPr>
                <w:i/>
              </w:rPr>
              <w:t>lválasztást</w:t>
            </w:r>
            <w:r w:rsidRPr="00DB67B2">
              <w:rPr>
                <w:i/>
              </w:rPr>
              <w:t>udományi</w:t>
            </w:r>
            <w:r w:rsidR="000D7E95">
              <w:rPr>
                <w:i/>
              </w:rPr>
              <w:t xml:space="preserve"> Tudományos Műhely</w:t>
            </w:r>
          </w:p>
          <w:p w:rsidR="00DB67B2" w:rsidRDefault="00DB67B2" w:rsidP="00DB67B2">
            <w:pPr>
              <w:jc w:val="both"/>
            </w:pPr>
            <w:r>
              <w:t xml:space="preserve">Dipoláris ionkromatográfia alkalmazása kationok, alifás aminok, és szerves módosítókkal kombinált eluensekkel poliaminok elválasztására. Komplexképző ligandumok, anionok és 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w:t>
            </w:r>
            <w:r>
              <w:lastRenderedPageBreak/>
              <w:t>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0D7E95" w:rsidRPr="00DB67B2" w:rsidRDefault="000D7E95" w:rsidP="00DB67B2">
            <w:pPr>
              <w:jc w:val="both"/>
            </w:pPr>
          </w:p>
          <w:p w:rsidR="00DB67B2" w:rsidRPr="00DB67B2" w:rsidRDefault="000D7E95" w:rsidP="00DB45BA">
            <w:pPr>
              <w:ind w:left="-142" w:firstLine="142"/>
              <w:rPr>
                <w:i/>
              </w:rPr>
            </w:pPr>
            <w:r>
              <w:rPr>
                <w:i/>
              </w:rPr>
              <w:t>Bioszerves és B</w:t>
            </w:r>
            <w:r w:rsidR="00DB67B2" w:rsidRPr="00DB67B2">
              <w:rPr>
                <w:i/>
              </w:rPr>
              <w:t xml:space="preserve">iokoordinációs </w:t>
            </w:r>
            <w:r>
              <w:rPr>
                <w:i/>
              </w:rPr>
              <w:t>K</w:t>
            </w:r>
            <w:r w:rsidR="00DB67B2" w:rsidRPr="00DB67B2">
              <w:rPr>
                <w:i/>
              </w:rPr>
              <w:t>émia</w:t>
            </w:r>
            <w:r>
              <w:rPr>
                <w:i/>
              </w:rPr>
              <w:t xml:space="preserve">  Tudományos Műhely</w:t>
            </w:r>
          </w:p>
          <w:p w:rsidR="00DB67B2" w:rsidRDefault="00DB67B2" w:rsidP="00DB67B2">
            <w:r>
              <w:t>Kvercetináz, pirokatechin oxigenáz és oxidáz, kataláz modellek előállítása, oxigénező, oxidáló katalizátorok (Fe, Mn, Cu) előállítása, alkalmazása</w:t>
            </w:r>
          </w:p>
          <w:p w:rsidR="000D7E95" w:rsidRDefault="000D7E95" w:rsidP="00DB67B2"/>
          <w:p w:rsidR="00DB67B2" w:rsidRPr="00DB67B2" w:rsidRDefault="00DB67B2" w:rsidP="00DB67B2">
            <w:pPr>
              <w:rPr>
                <w:i/>
              </w:rPr>
            </w:pPr>
            <w:r w:rsidRPr="00DB67B2">
              <w:rPr>
                <w:i/>
              </w:rPr>
              <w:t>Energetikai</w:t>
            </w:r>
            <w:r w:rsidR="000D7E95">
              <w:rPr>
                <w:i/>
              </w:rPr>
              <w:t xml:space="preserve">  Tudományos Műhely</w:t>
            </w:r>
          </w:p>
          <w:p w:rsidR="00DB67B2" w:rsidRDefault="00DB67B2" w:rsidP="00DB67B2">
            <w:r w:rsidRPr="00DB67B2">
              <w:t>Megújuló energiaforrások,  hagyományos hőerőművi vízkémiai és atomerőművi korróziós kutatások</w:t>
            </w:r>
          </w:p>
          <w:p w:rsidR="000D7E95" w:rsidRDefault="000D7E95" w:rsidP="00DB67B2"/>
          <w:p w:rsidR="00DB67B2" w:rsidRDefault="00DB67B2" w:rsidP="00DB67B2">
            <w:r w:rsidRPr="00DB67B2">
              <w:rPr>
                <w:i/>
              </w:rPr>
              <w:t>Felületanalitikai</w:t>
            </w:r>
            <w:r w:rsidR="000D7E95">
              <w:rPr>
                <w:i/>
              </w:rPr>
              <w:t xml:space="preserve">  Tudományos Műhely</w:t>
            </w:r>
          </w:p>
          <w:p w:rsidR="00DB67B2" w:rsidRDefault="00DB67B2" w:rsidP="000D7E95">
            <w:r>
              <w:t>Új módszerek kidolgozása agyagásvány nanokomplexek elállítására és vizsgálatára  Új felületmódosító eljárások kidolgozása tervezhető felületi tulajdonságokkal rendelkező olcsó, környezetbarát adszorbensek előállítása céljából. Vizek, szennyvizek szerves szennyező anyagainak elektrokémiai úton (anódos oxidációval) történő lebontás</w:t>
            </w:r>
            <w:r w:rsidR="000D7E95">
              <w:t>ára alkalmas bevonatrendszerek</w:t>
            </w:r>
            <w:r>
              <w:t>, s azok in situ minősítésére</w:t>
            </w:r>
            <w:r w:rsidR="000D7E95">
              <w:t xml:space="preserve"> alkalmas analitikai módszerek</w:t>
            </w:r>
            <w:r>
              <w:t xml:space="preserve"> </w:t>
            </w:r>
            <w:r w:rsidR="000D7E95">
              <w:t>ki</w:t>
            </w:r>
            <w:r>
              <w:t>dolgoz</w:t>
            </w:r>
            <w:r w:rsidR="000D7E95">
              <w:t>ása</w:t>
            </w:r>
          </w:p>
          <w:p w:rsidR="000D7E95" w:rsidRDefault="000D7E95" w:rsidP="000D7E95"/>
          <w:p w:rsidR="00DB67B2" w:rsidRPr="00DB67B2" w:rsidRDefault="00DB67B2" w:rsidP="00DB67B2">
            <w:pPr>
              <w:rPr>
                <w:i/>
              </w:rPr>
            </w:pPr>
            <w:r w:rsidRPr="00DB67B2">
              <w:rPr>
                <w:i/>
              </w:rPr>
              <w:t>Kondenzált Fázisok Fizikai Kémiája</w:t>
            </w:r>
            <w:r w:rsidR="000D7E95">
              <w:rPr>
                <w:i/>
              </w:rPr>
              <w:t xml:space="preserve">  Tudományos Műhely</w:t>
            </w:r>
          </w:p>
          <w:p w:rsidR="00DB67B2" w:rsidRDefault="00DB67B2" w:rsidP="00DB67B2">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0D7E95" w:rsidRDefault="000D7E95" w:rsidP="00DB67B2"/>
          <w:p w:rsidR="00DB67B2" w:rsidRPr="00DB67B2" w:rsidRDefault="00DB67B2" w:rsidP="00DB67B2">
            <w:pPr>
              <w:rPr>
                <w:i/>
              </w:rPr>
            </w:pPr>
            <w:r w:rsidRPr="00DB67B2">
              <w:rPr>
                <w:i/>
              </w:rPr>
              <w:t>Környezeti és Szervetlen Fotokémia</w:t>
            </w:r>
            <w:r w:rsidR="000D7E95">
              <w:rPr>
                <w:i/>
              </w:rPr>
              <w:t xml:space="preserve">  Tudományos Műhely</w:t>
            </w:r>
          </w:p>
          <w:p w:rsidR="00DB67B2" w:rsidRDefault="00DB67B2" w:rsidP="00DB67B2">
            <w:r>
              <w:t>Átmenetifém-komplexek előállítása, fotofizikai és fotokémiai tulajdonságaik vizsgálata napenergia hasznosítás és fotokatalitikus ren</w:t>
            </w:r>
            <w:r w:rsidR="00221D99">
              <w:t>dszerek megvalósítása céljából. Síkon-kívüli (s</w:t>
            </w:r>
            <w:r>
              <w:t xml:space="preserve">itting-atop </w:t>
            </w:r>
            <w:r w:rsidR="00221D99">
              <w:t xml:space="preserve">vagy </w:t>
            </w:r>
            <w:r>
              <w:t>out-of-plane) metallo-porfirinek speciális fotoindukált sajátságainak elemzése és értelmezése. Fotoaktív egy- és többmagvú (elsősorban diimin és porfirin ligandumot tartalmazó) 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 ill. ezeket alkalmazó nagyteljesítményű laboratóriumi és kisüzemi berendezések kifejlesztése különböző szennyvizek tisztítására; a  szerves szennyezők oxidatív lebontásával (mineralizációjával) és a nehézfémionok reduktív leválasztásával. A fotokatalitikus oxidáció mechanizmusának vizsgálata különböző aminosavak és felületaktív anyagok mineralizációja során.</w:t>
            </w:r>
          </w:p>
          <w:p w:rsidR="00DB67B2" w:rsidRDefault="00DB67B2" w:rsidP="00DB67B2"/>
          <w:p w:rsidR="00F33BAF" w:rsidRPr="00DB67B2" w:rsidRDefault="00F33BAF" w:rsidP="00DB45BA">
            <w:pPr>
              <w:ind w:left="-142" w:firstLine="142"/>
              <w:rPr>
                <w:i/>
              </w:rPr>
            </w:pPr>
            <w:r w:rsidRPr="00DB67B2">
              <w:rPr>
                <w:i/>
              </w:rPr>
              <w:t xml:space="preserve">Szerveskémiai </w:t>
            </w:r>
            <w:r w:rsidR="000D7E95">
              <w:rPr>
                <w:i/>
              </w:rPr>
              <w:t>S</w:t>
            </w:r>
            <w:r w:rsidRPr="00DB67B2">
              <w:rPr>
                <w:i/>
              </w:rPr>
              <w:t xml:space="preserve">zintézis és </w:t>
            </w:r>
            <w:r w:rsidR="000D7E95">
              <w:rPr>
                <w:i/>
              </w:rPr>
              <w:t>K</w:t>
            </w:r>
            <w:r w:rsidRPr="00DB67B2">
              <w:rPr>
                <w:i/>
              </w:rPr>
              <w:t>atalízis</w:t>
            </w:r>
            <w:r w:rsidR="000D7E95">
              <w:rPr>
                <w:i/>
              </w:rPr>
              <w:t xml:space="preserve">  Tudományos Műhely</w:t>
            </w:r>
          </w:p>
          <w:p w:rsidR="00F33BAF" w:rsidRDefault="00F33BAF" w:rsidP="00F33BAF">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nylő folyamatok kifejleszt</w:t>
            </w:r>
            <w:r>
              <w:t>é</w:t>
            </w:r>
            <w:r w:rsidRPr="00E35B97">
              <w:t>se</w:t>
            </w:r>
            <w:r>
              <w:t>, s</w:t>
            </w:r>
            <w:r w:rsidRPr="00E35B97">
              <w:t xml:space="preserve">zerves analitikai vizsgálatok </w:t>
            </w:r>
            <w:r>
              <w:t>kidolgozása.</w:t>
            </w:r>
          </w:p>
          <w:p w:rsidR="00F33BAF" w:rsidRDefault="00F33BAF" w:rsidP="00F33BAF">
            <w:pPr>
              <w:tabs>
                <w:tab w:val="left" w:pos="360"/>
              </w:tabs>
            </w:pPr>
          </w:p>
          <w:p w:rsidR="00312CBD" w:rsidRPr="002D06AF" w:rsidRDefault="002D06AF" w:rsidP="00DB45BA">
            <w:pPr>
              <w:ind w:left="-142" w:firstLine="142"/>
            </w:pPr>
            <w:r w:rsidRPr="002D06AF">
              <w:t xml:space="preserve">A PE Mérnöki Karán működő szakmai műhelyek magas színvonalú és szerteágazó kémiai </w:t>
            </w:r>
            <w:r w:rsidRPr="002D06AF">
              <w:lastRenderedPageBreak/>
              <w:t xml:space="preserve">kutatási lehetőséget biztosítanak az alap- és mesterszakos hallgatók számára is, mely tényt jól alátámasztja a hallgatóinknak az OTDK konferenciákon sikere, illetve </w:t>
            </w:r>
            <w:r w:rsidR="00DB67B2">
              <w:t xml:space="preserve">sok esetben </w:t>
            </w:r>
            <w:r w:rsidRPr="002D06AF">
              <w:t>már a diploma megszerzését megelőzően megjelenő tudományos publikációik is.</w:t>
            </w:r>
          </w:p>
        </w:tc>
      </w:tr>
    </w:tbl>
    <w:p w:rsidR="00CA1752" w:rsidRPr="00CA1752" w:rsidRDefault="00CA1752" w:rsidP="00312CBD">
      <w:pPr>
        <w:rPr>
          <w:kern w:val="32"/>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DB45B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0D7E95" w:rsidRPr="003874BA" w:rsidRDefault="000D7E95" w:rsidP="000D7E95">
            <w:pPr>
              <w:jc w:val="both"/>
              <w:rPr>
                <w:sz w:val="22"/>
                <w:szCs w:val="22"/>
              </w:rPr>
            </w:pPr>
            <w:r w:rsidRPr="003874BA">
              <w:rPr>
                <w:sz w:val="22"/>
                <w:szCs w:val="22"/>
              </w:rPr>
              <w:t xml:space="preserve">A vegyész szak oktatásának kiemelt fontosságú színterei a jól felszerelt </w:t>
            </w:r>
            <w:r w:rsidRPr="003874BA">
              <w:rPr>
                <w:i/>
                <w:sz w:val="22"/>
                <w:szCs w:val="22"/>
              </w:rPr>
              <w:t>laboratóriumok</w:t>
            </w:r>
            <w:r w:rsidRPr="003874BA">
              <w:rPr>
                <w:sz w:val="22"/>
                <w:szCs w:val="22"/>
              </w:rPr>
              <w:t>. Ezeket a Mérnöki Kar Intézetei gondozzák és működtetik. A kémiai alapismereti (az általános és szervetlen kémiai, szerves kémiai, fizikai kémiai) laboratóriumi kurzusok a Kémia Intézet Intézeti Tanszékein szolgálják az oktatást. A kémiai analízis laboratóriumok a</w:t>
            </w:r>
            <w:r w:rsidR="003874BA" w:rsidRPr="003874BA">
              <w:rPr>
                <w:sz w:val="22"/>
                <w:szCs w:val="22"/>
              </w:rPr>
              <w:t xml:space="preserve"> Környezetmérnöki Intézet </w:t>
            </w:r>
            <w:r w:rsidRPr="003874BA">
              <w:rPr>
                <w:sz w:val="22"/>
                <w:szCs w:val="22"/>
              </w:rPr>
              <w:t>Analitikai</w:t>
            </w:r>
            <w:r w:rsidR="003874BA" w:rsidRPr="003874BA">
              <w:rPr>
                <w:sz w:val="22"/>
                <w:szCs w:val="22"/>
              </w:rPr>
              <w:t xml:space="preserve"> Kémiai Intézeti Tanszékén</w:t>
            </w:r>
            <w:r w:rsidRPr="003874BA">
              <w:rPr>
                <w:sz w:val="22"/>
                <w:szCs w:val="22"/>
              </w:rPr>
              <w:t xml:space="preserve">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0D7E95" w:rsidRPr="003874BA" w:rsidRDefault="00221D99" w:rsidP="000D7E95">
            <w:pPr>
              <w:ind w:left="426" w:firstLine="282"/>
              <w:jc w:val="both"/>
              <w:rPr>
                <w:sz w:val="22"/>
                <w:szCs w:val="22"/>
              </w:rPr>
            </w:pPr>
            <w:r w:rsidRPr="003874BA">
              <w:rPr>
                <w:sz w:val="22"/>
                <w:szCs w:val="22"/>
              </w:rPr>
              <w:t xml:space="preserve">Az Általános és Szervetlen Kémia Intézeti Tanszéken </w:t>
            </w:r>
            <w:r>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Pr>
                <w:sz w:val="22"/>
                <w:szCs w:val="22"/>
              </w:rPr>
              <w:t>is</w:t>
            </w:r>
            <w:r w:rsidRPr="003874BA">
              <w:rPr>
                <w:sz w:val="22"/>
                <w:szCs w:val="22"/>
              </w:rPr>
              <w:t xml:space="preserve"> és infravörös spektrofotométerek (Specord S100 </w:t>
            </w:r>
            <w:r>
              <w:rPr>
                <w:sz w:val="22"/>
                <w:szCs w:val="22"/>
              </w:rPr>
              <w:t xml:space="preserve">és S600 </w:t>
            </w:r>
            <w:r w:rsidRPr="003874BA">
              <w:rPr>
                <w:sz w:val="22"/>
                <w:szCs w:val="22"/>
              </w:rPr>
              <w:t>(diódasoros)</w:t>
            </w:r>
            <w:r>
              <w:rPr>
                <w:sz w:val="22"/>
                <w:szCs w:val="22"/>
              </w:rPr>
              <w:t>,</w:t>
            </w:r>
            <w:r w:rsidRPr="003874BA">
              <w:rPr>
                <w:sz w:val="22"/>
                <w:szCs w:val="22"/>
              </w:rPr>
              <w:t xml:space="preserve"> </w:t>
            </w:r>
            <w:r>
              <w:rPr>
                <w:sz w:val="22"/>
                <w:szCs w:val="22"/>
              </w:rPr>
              <w:t>valamint Perkin Elmer Lambda 25</w:t>
            </w:r>
            <w:r w:rsidRPr="003874BA">
              <w:rPr>
                <w:sz w:val="22"/>
                <w:szCs w:val="22"/>
              </w:rPr>
              <w:t>), spektrofluoriméter (Perkin-Elmer L</w:t>
            </w:r>
            <w:r>
              <w:rPr>
                <w:sz w:val="22"/>
                <w:szCs w:val="22"/>
              </w:rPr>
              <w:t xml:space="preserve">S </w:t>
            </w:r>
            <w:r w:rsidRPr="003874BA">
              <w:rPr>
                <w:sz w:val="22"/>
                <w:szCs w:val="22"/>
              </w:rPr>
              <w:t>5</w:t>
            </w:r>
            <w:r>
              <w:rPr>
                <w:sz w:val="22"/>
                <w:szCs w:val="22"/>
              </w:rPr>
              <w:t xml:space="preserve">0-B és Horiba Jobin </w:t>
            </w:r>
            <w:r w:rsidRPr="003D680D">
              <w:rPr>
                <w:sz w:val="22"/>
                <w:szCs w:val="22"/>
              </w:rPr>
              <w:t>Yvon</w:t>
            </w:r>
            <w:r>
              <w:rPr>
                <w:sz w:val="22"/>
                <w:szCs w:val="22"/>
              </w:rPr>
              <w:t xml:space="preserve"> </w:t>
            </w:r>
            <w:r w:rsidRPr="003D680D">
              <w:rPr>
                <w:sz w:val="22"/>
                <w:szCs w:val="22"/>
              </w:rPr>
              <w:t>Fluoromax</w:t>
            </w:r>
            <w:r>
              <w:rPr>
                <w:sz w:val="22"/>
                <w:szCs w:val="22"/>
              </w:rPr>
              <w:t>-</w:t>
            </w:r>
            <w:r w:rsidRPr="003D680D">
              <w:rPr>
                <w:sz w:val="22"/>
                <w:szCs w:val="22"/>
              </w:rPr>
              <w:t>4</w:t>
            </w:r>
            <w:r w:rsidRPr="003874BA">
              <w:rPr>
                <w:sz w:val="22"/>
                <w:szCs w:val="22"/>
              </w:rPr>
              <w:t xml:space="preserve">), </w:t>
            </w:r>
            <w:r>
              <w:rPr>
                <w:sz w:val="22"/>
                <w:szCs w:val="22"/>
              </w:rPr>
              <w:t>gázkromatográf</w:t>
            </w:r>
            <w:r w:rsidRPr="003874BA">
              <w:rPr>
                <w:sz w:val="22"/>
                <w:szCs w:val="22"/>
              </w:rPr>
              <w:t xml:space="preserve"> (</w:t>
            </w:r>
            <w:r w:rsidRPr="005D33A5">
              <w:rPr>
                <w:sz w:val="22"/>
                <w:szCs w:val="22"/>
              </w:rPr>
              <w:t>Shimadzu GC-2010</w:t>
            </w:r>
            <w:r w:rsidRPr="003874BA">
              <w:rPr>
                <w:sz w:val="22"/>
                <w:szCs w:val="22"/>
              </w:rPr>
              <w:t>)</w:t>
            </w:r>
            <w:r>
              <w:rPr>
                <w:sz w:val="22"/>
                <w:szCs w:val="22"/>
              </w:rPr>
              <w:t xml:space="preserve">, </w:t>
            </w:r>
            <w:r w:rsidRPr="005D33A5">
              <w:rPr>
                <w:sz w:val="22"/>
                <w:szCs w:val="22"/>
              </w:rPr>
              <w:t xml:space="preserve">szén- - és </w:t>
            </w:r>
            <w:r w:rsidR="004D6386">
              <w:rPr>
                <w:sz w:val="22"/>
                <w:szCs w:val="22"/>
              </w:rPr>
              <w:t>n</w:t>
            </w:r>
            <w:r w:rsidRPr="005D33A5">
              <w:rPr>
                <w:sz w:val="22"/>
                <w:szCs w:val="22"/>
              </w:rPr>
              <w:t>itrogéntartalom analizátor</w:t>
            </w:r>
            <w:r w:rsidRPr="003874BA">
              <w:rPr>
                <w:sz w:val="22"/>
                <w:szCs w:val="22"/>
              </w:rPr>
              <w:t xml:space="preserve"> </w:t>
            </w:r>
            <w:r>
              <w:rPr>
                <w:sz w:val="22"/>
                <w:szCs w:val="22"/>
              </w:rPr>
              <w:t>(</w:t>
            </w:r>
            <w:r w:rsidRPr="005D33A5">
              <w:rPr>
                <w:sz w:val="22"/>
                <w:szCs w:val="22"/>
              </w:rPr>
              <w:t>Thermo TOC/TN 1200</w:t>
            </w:r>
            <w:r>
              <w:rPr>
                <w:sz w:val="22"/>
                <w:szCs w:val="22"/>
              </w:rPr>
              <w:t>),</w:t>
            </w:r>
            <w:r w:rsidRPr="005D33A5">
              <w:rPr>
                <w:sz w:val="22"/>
                <w:szCs w:val="22"/>
              </w:rPr>
              <w:t xml:space="preserve"> </w:t>
            </w:r>
            <w:r w:rsidRPr="003874BA">
              <w:rPr>
                <w:sz w:val="22"/>
                <w:szCs w:val="22"/>
              </w:rPr>
              <w:t>továbbá folytonos és villanófény üzemű fotolízis berendezések állnak rendelkezésre.</w:t>
            </w:r>
            <w:r w:rsidR="000D7E95" w:rsidRPr="003874BA">
              <w:rPr>
                <w:sz w:val="22"/>
                <w:szCs w:val="22"/>
              </w:rPr>
              <w:t xml:space="preserve"> </w:t>
            </w:r>
          </w:p>
          <w:p w:rsidR="000D7E95" w:rsidRPr="003874BA" w:rsidRDefault="000D7E95" w:rsidP="000D7E95">
            <w:pPr>
              <w:ind w:left="426"/>
              <w:jc w:val="both"/>
              <w:rPr>
                <w:sz w:val="22"/>
                <w:szCs w:val="22"/>
              </w:rPr>
            </w:pPr>
            <w:r w:rsidRPr="003874BA">
              <w:rPr>
                <w:sz w:val="22"/>
                <w:szCs w:val="22"/>
              </w:rPr>
              <w:tab/>
              <w:t>A Fizikai Kémia Intézeti Tanszéken 2, egyszerre 20 hallgató oktatására alkalmas, elszívóval felszerelt vegyifülkékkel ellátott laboratórium áll rendelkezésre, hőmérséklet, nyomás, elektromos 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0D7E95" w:rsidRPr="003874BA" w:rsidRDefault="000D7E95" w:rsidP="000D7E95">
            <w:pPr>
              <w:ind w:left="426"/>
              <w:jc w:val="both"/>
              <w:rPr>
                <w:sz w:val="22"/>
                <w:szCs w:val="22"/>
              </w:rPr>
            </w:pPr>
            <w:r w:rsidRPr="003874BA">
              <w:rPr>
                <w:sz w:val="22"/>
                <w:szCs w:val="22"/>
              </w:rPr>
              <w:tab/>
              <w:t>A Sze</w:t>
            </w:r>
            <w:r w:rsidR="00221D99">
              <w:rPr>
                <w:sz w:val="22"/>
                <w:szCs w:val="22"/>
              </w:rPr>
              <w:t xml:space="preserve">rves Kémia Intézeti Tanszéken 3 </w:t>
            </w:r>
            <w:r w:rsidRPr="003874BA">
              <w:rPr>
                <w:sz w:val="22"/>
                <w:szCs w:val="22"/>
              </w:rPr>
              <w:t xml:space="preserve">db hallgatói laboratórium áll rendelkezésre, felszerelve 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w:t>
            </w:r>
            <w:r w:rsidR="003874BA" w:rsidRPr="003874BA">
              <w:rPr>
                <w:sz w:val="22"/>
                <w:szCs w:val="22"/>
              </w:rPr>
              <w:t>4</w:t>
            </w:r>
            <w:r w:rsidRPr="003874BA">
              <w:rPr>
                <w:sz w:val="22"/>
                <w:szCs w:val="22"/>
              </w:rPr>
              <w:t xml:space="preserve"> db kutatólaboratórium. A laboratóriumi munkát segíti többféle típusú gázkromatográf, egy gázkromatográf-tömegspektrométer, ultraibolya spektrofotométer, infravörös spektrofotométerek, polarográf, polariméter, ozmométer, mikrohullámú feltáró berendezés. </w:t>
            </w:r>
          </w:p>
          <w:p w:rsidR="000D7E95" w:rsidRPr="003874BA" w:rsidRDefault="000D7E95" w:rsidP="000D7E95">
            <w:pPr>
              <w:ind w:left="426"/>
              <w:jc w:val="both"/>
              <w:rPr>
                <w:sz w:val="22"/>
                <w:szCs w:val="22"/>
              </w:rPr>
            </w:pPr>
            <w:r w:rsidRPr="003874BA">
              <w:rPr>
                <w:sz w:val="22"/>
                <w:szCs w:val="22"/>
              </w:rPr>
              <w:tab/>
              <w:t>Analitikai Kémia Intézeti Tanszéken az alábbi készülékcsoportok</w:t>
            </w:r>
            <w:r w:rsidR="003874BA" w:rsidRPr="003874BA">
              <w:rPr>
                <w:sz w:val="22"/>
                <w:szCs w:val="22"/>
              </w:rPr>
              <w:t xml:space="preserve"> segítik a hallgatók munkáját</w:t>
            </w:r>
            <w:r w:rsidRPr="003874BA">
              <w:rPr>
                <w:sz w:val="22"/>
                <w:szCs w:val="22"/>
              </w:rPr>
              <w:t xml:space="preserve">: </w:t>
            </w:r>
          </w:p>
          <w:p w:rsidR="000D7E95" w:rsidRPr="003874BA" w:rsidRDefault="000D7E95" w:rsidP="000D7E95">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w:t>
            </w:r>
            <w:r w:rsidR="00221D99">
              <w:rPr>
                <w:szCs w:val="22"/>
              </w:rPr>
              <w:t>ter, Evolution 500 UV-Vis</w:t>
            </w:r>
            <w:r w:rsidRPr="003874BA">
              <w:rPr>
                <w:szCs w:val="22"/>
              </w:rPr>
              <w:t xml:space="preserve"> spektrométer. Atomspektroszkópia: Perkin-Elmer AAnalyst 800 atomabszorpciós berendezés, GBC 932AA lángfotométer, GBC Integra XM ICP spektrométer. Elektroanalitika: Autolab Eco Chemie univerzális elektrokémiai mérőállomás, Radelkis polarográfok, pH mérők, kulombméterek.</w:t>
            </w:r>
          </w:p>
          <w:p w:rsidR="00312CBD" w:rsidRPr="00333032" w:rsidRDefault="000F01FD" w:rsidP="00593F18">
            <w:pPr>
              <w:pStyle w:val="Szvegtrzsbehzssal"/>
              <w:ind w:left="437"/>
              <w:rPr>
                <w:szCs w:val="22"/>
              </w:rPr>
            </w:pPr>
            <w:r>
              <w:rPr>
                <w:szCs w:val="22"/>
              </w:rPr>
              <w:t xml:space="preserve">A szakon folyó képzéshez szükséges infrastruktúra </w:t>
            </w:r>
            <w:r w:rsidR="003874BA">
              <w:rPr>
                <w:szCs w:val="22"/>
              </w:rPr>
              <w:t xml:space="preserve">a rendelkezésre álló készülékek mellett is </w:t>
            </w:r>
            <w:r w:rsidR="003874BA">
              <w:rPr>
                <w:szCs w:val="22"/>
              </w:rPr>
              <w:lastRenderedPageBreak/>
              <w:t>fejlesztésre szorul.</w:t>
            </w:r>
            <w:r w:rsidR="00593F18">
              <w:rPr>
                <w:szCs w:val="22"/>
              </w:rPr>
              <w:t xml:space="preserve"> Nagyobb műszerek beszerzésére a források korlátozozztak.</w:t>
            </w:r>
            <w:r w:rsidR="003874BA">
              <w:rPr>
                <w:szCs w:val="22"/>
              </w:rPr>
              <w:t xml:space="preserve"> A</w:t>
            </w:r>
            <w:r>
              <w:rPr>
                <w:szCs w:val="22"/>
              </w:rPr>
              <w:t xml:space="preserve"> </w:t>
            </w:r>
            <w:r w:rsidR="003874BA">
              <w:rPr>
                <w:szCs w:val="22"/>
              </w:rPr>
              <w:t xml:space="preserve">komolyabb elméleti kémiai számításokhoz a </w:t>
            </w:r>
            <w:r>
              <w:rPr>
                <w:szCs w:val="22"/>
              </w:rPr>
              <w:t>számítógéppark</w:t>
            </w:r>
            <w:r w:rsidR="003874BA">
              <w:rPr>
                <w:szCs w:val="22"/>
              </w:rPr>
              <w:t>o</w:t>
            </w:r>
            <w:r w:rsidR="008C48A8">
              <w:rPr>
                <w:szCs w:val="22"/>
              </w:rPr>
              <w:t>t</w:t>
            </w:r>
            <w:r w:rsidR="003874BA">
              <w:rPr>
                <w:szCs w:val="22"/>
              </w:rPr>
              <w:t xml:space="preserve"> szintén fejleszteni kell.</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8C48A8" w:rsidRPr="008C48A8" w:rsidRDefault="003874BA" w:rsidP="009E781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8" w:history="1">
              <w:r w:rsidRPr="008C48A8">
                <w:rPr>
                  <w:rStyle w:val="Hiperhivatkozs"/>
                  <w:szCs w:val="22"/>
                </w:rPr>
                <w:t>http://www.vein.hu/library/index-hu.htm</w:t>
              </w:r>
            </w:hyperlink>
            <w:r w:rsidRPr="008C48A8">
              <w:rPr>
                <w:szCs w:val="22"/>
              </w:rPr>
              <w:t>)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w:t>
            </w:r>
            <w:r w:rsidR="008C48A8" w:rsidRPr="008C48A8">
              <w:rPr>
                <w:szCs w:val="22"/>
              </w:rPr>
              <w:t xml:space="preserve"> A könyvtár szolgáltatásai a </w:t>
            </w:r>
            <w:hyperlink r:id="rId9" w:history="1">
              <w:r w:rsidR="008C48A8" w:rsidRPr="008C48A8">
                <w:rPr>
                  <w:rStyle w:val="Hiperhivatkozs"/>
                  <w:szCs w:val="22"/>
                </w:rPr>
                <w:t>http://konyvtar.uni-pannon.hu/hu/node/43</w:t>
              </w:r>
            </w:hyperlink>
            <w:r w:rsidR="008C48A8"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9E7817" w:rsidRDefault="00950F52" w:rsidP="009E7817">
            <w:pPr>
              <w:pStyle w:val="Szvegtrzsbehzssal"/>
              <w:ind w:left="437"/>
              <w:rPr>
                <w:szCs w:val="22"/>
              </w:rPr>
            </w:pPr>
            <w:r>
              <w:rPr>
                <w:szCs w:val="22"/>
              </w:rPr>
              <w:t xml:space="preserve">A </w:t>
            </w:r>
            <w:r w:rsidR="008C48A8">
              <w:rPr>
                <w:szCs w:val="22"/>
              </w:rPr>
              <w:t xml:space="preserve">vegyész szak szempontjából lényeges </w:t>
            </w:r>
            <w:r>
              <w:rPr>
                <w:szCs w:val="22"/>
              </w:rPr>
              <w:t>szakmai folyóiratok közül a legfontosabbak főleg papíralapú formában érhetők el, néhány elektronikusan is</w:t>
            </w:r>
            <w:r w:rsidR="008C48A8">
              <w:rPr>
                <w:szCs w:val="22"/>
              </w:rPr>
              <w:t xml:space="preserve"> hozzáférhető</w:t>
            </w:r>
            <w:r>
              <w:rPr>
                <w:szCs w:val="22"/>
              </w:rPr>
              <w:t>.</w:t>
            </w:r>
            <w:r w:rsidR="008C48A8">
              <w:rPr>
                <w:szCs w:val="22"/>
              </w:rPr>
              <w:t xml:space="preserve"> Az elmúlt években azonban a kémiával kapcsolatos folyóiratoknál folyamatos szűkülés figyelhető meg, amelyet az anyagi lehetőségekhez mérten vissza kellene fordítani.</w:t>
            </w:r>
            <w:r>
              <w:rPr>
                <w:szCs w:val="22"/>
              </w:rPr>
              <w:t xml:space="preserve"> </w:t>
            </w:r>
            <w:r w:rsidR="00593F18">
              <w:rPr>
                <w:szCs w:val="22"/>
              </w:rPr>
              <w:t xml:space="preserve">Gondot jelent, hogy a </w:t>
            </w:r>
            <w:r w:rsidR="00564276">
              <w:rPr>
                <w:szCs w:val="22"/>
              </w:rPr>
              <w:t>diploma</w:t>
            </w:r>
            <w:r w:rsidR="00593F18">
              <w:rPr>
                <w:szCs w:val="22"/>
              </w:rPr>
              <w:t xml:space="preserve">dolgozatok, egyéni feladatok megoldásához szükséges adatbázisok (SciFinder, Reaxys) egyáltalán nem elérhetőek, erre a jövőben szintén megoldást kellene találni. </w:t>
            </w:r>
            <w:r w:rsidR="0010085B">
              <w:rPr>
                <w:szCs w:val="22"/>
              </w:rPr>
              <w:t xml:space="preserve">A </w:t>
            </w:r>
            <w:r w:rsidR="008C48A8">
              <w:rPr>
                <w:szCs w:val="22"/>
              </w:rPr>
              <w:t>speciális</w:t>
            </w:r>
            <w:r w:rsidR="0010085B">
              <w:rPr>
                <w:szCs w:val="22"/>
              </w:rPr>
              <w:t xml:space="preserve"> szakkönyvek a tanszéki könyvtárakban vannak elhelyezve, </w:t>
            </w:r>
            <w:r w:rsidR="008C48A8">
              <w:rPr>
                <w:szCs w:val="22"/>
              </w:rPr>
              <w:t>a hallgatók számára ezek is hozzáférhetők</w:t>
            </w:r>
            <w:r w:rsidR="009E7817">
              <w:rPr>
                <w:szCs w:val="22"/>
              </w:rPr>
              <w:t>.</w:t>
            </w:r>
          </w:p>
          <w:p w:rsidR="00312CBD" w:rsidRPr="00333032" w:rsidRDefault="0010085B" w:rsidP="009E781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8F52C0" w:rsidP="00DB45BA">
            <w:pPr>
              <w:pStyle w:val="Szvegtrzsbehzssal"/>
              <w:ind w:left="437"/>
              <w:rPr>
                <w:szCs w:val="22"/>
              </w:rPr>
            </w:pPr>
            <w:r w:rsidRPr="00221D99">
              <w:rPr>
                <w:szCs w:val="22"/>
              </w:rPr>
              <w:t xml:space="preserve">Az egyetemen </w:t>
            </w:r>
            <w:r w:rsidRPr="00221D99">
              <w:rPr>
                <w:i/>
                <w:szCs w:val="22"/>
              </w:rPr>
              <w:t>nyomdai</w:t>
            </w:r>
            <w:r w:rsidRPr="00221D99">
              <w:rPr>
                <w:szCs w:val="22"/>
              </w:rPr>
              <w:t xml:space="preserve">-kiadói kapacitás áll rendelkezésre jegyzetek és oktatási segédletek kiadásához. Az egyetemi könyvesboltok segítséget nyújtanak a hallgatóknak a szükséges taneszközök beszerzésében. </w:t>
            </w:r>
            <w:r w:rsidR="00585B35" w:rsidRPr="00221D99">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r w:rsidR="00585B35">
              <w:rPr>
                <w:szCs w:val="22"/>
              </w:rPr>
              <w:t>.</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Az oktatás egyéb, szükséges feltételei</w:t>
            </w:r>
          </w:p>
        </w:tc>
      </w:tr>
      <w:tr w:rsidR="00312CBD" w:rsidRPr="00333032">
        <w:trPr>
          <w:trHeight w:val="489"/>
        </w:trPr>
        <w:tc>
          <w:tcPr>
            <w:tcW w:w="9294" w:type="dxa"/>
            <w:shd w:val="clear" w:color="auto" w:fill="FFFF99"/>
            <w:tcMar>
              <w:top w:w="57" w:type="dxa"/>
              <w:bottom w:w="57" w:type="dxa"/>
            </w:tcMar>
          </w:tcPr>
          <w:p w:rsidR="008F52C0" w:rsidRDefault="008F52C0" w:rsidP="00DB45BA">
            <w:pPr>
              <w:pStyle w:val="Szvegtrzsbehzssal"/>
              <w:ind w:left="437"/>
              <w:rPr>
                <w:sz w:val="24"/>
                <w:szCs w:val="24"/>
              </w:rPr>
            </w:pPr>
            <w:r w:rsidRPr="008F52C0">
              <w:rPr>
                <w:szCs w:val="22"/>
              </w:rPr>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8F52C0" w:rsidP="00DB45BA">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A diplomamunka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312CBD" w:rsidRDefault="00312CBD" w:rsidP="00CA7926">
      <w:pPr>
        <w:spacing w:line="360" w:lineRule="auto"/>
        <w:ind w:firstLine="539"/>
        <w:jc w:val="both"/>
      </w:pPr>
    </w:p>
    <w:p w:rsidR="00210F93" w:rsidRDefault="007A162B" w:rsidP="00253B66">
      <w:pPr>
        <w:spacing w:before="120" w:after="120" w:line="360" w:lineRule="auto"/>
        <w:ind w:firstLine="539"/>
        <w:jc w:val="both"/>
      </w:pPr>
      <w:r>
        <w:lastRenderedPageBreak/>
        <w:t xml:space="preserve">A </w:t>
      </w:r>
      <w:r w:rsidR="0068202B">
        <w:t>2016. szeptembe</w:t>
      </w:r>
      <w:r w:rsidR="00B37A68">
        <w:t>ri kedvező eredményt követően ’</w:t>
      </w:r>
      <w:r w:rsidR="0068202B">
        <w:t>17-ben</w:t>
      </w:r>
      <w:r w:rsidR="00B37A68">
        <w:t xml:space="preserve"> és ’18-ban</w:t>
      </w:r>
      <w:r w:rsidR="0068202B">
        <w:t xml:space="preserve"> a jelentkezők és felvettek száma is visszaesést mutatott. Az oktatási kapacitás továbbra s</w:t>
      </w:r>
      <w:r>
        <w:t xml:space="preserve">incs kihasználva. Sok saját BSc-s hallgató </w:t>
      </w:r>
      <w:r w:rsidR="0068202B">
        <w:t xml:space="preserve">lemorzsolódik, </w:t>
      </w:r>
      <w:r>
        <w:t xml:space="preserve">jelentkezik át másik egyetemre, részben a más oktatási profil, részben a szak nehézsége miatt. </w:t>
      </w:r>
    </w:p>
    <w:p w:rsidR="001672C4" w:rsidRPr="0038112E" w:rsidRDefault="001672C4" w:rsidP="00CA7926">
      <w:pPr>
        <w:spacing w:line="360" w:lineRule="auto"/>
        <w:ind w:firstLine="539"/>
        <w:jc w:val="both"/>
      </w:pPr>
    </w:p>
    <w:p w:rsidR="00B854FE" w:rsidRDefault="00B854FE" w:rsidP="005F44E3">
      <w:pPr>
        <w:spacing w:line="360" w:lineRule="auto"/>
        <w:ind w:firstLine="539"/>
        <w:jc w:val="both"/>
        <w:sectPr w:rsidR="00B854FE" w:rsidSect="00EC5AFE">
          <w:headerReference w:type="default" r:id="rId10"/>
          <w:footerReference w:type="default" r:id="rId11"/>
          <w:pgSz w:w="11906" w:h="16838"/>
          <w:pgMar w:top="1417" w:right="1106" w:bottom="1417" w:left="1260" w:header="708" w:footer="175" w:gutter="0"/>
          <w:cols w:space="708"/>
          <w:docGrid w:linePitch="360"/>
        </w:sectPr>
      </w:pPr>
    </w:p>
    <w:p w:rsidR="001672C4" w:rsidRPr="001672C4" w:rsidRDefault="001672C4" w:rsidP="001672C4">
      <w:pPr>
        <w:pStyle w:val="Cmsor1"/>
        <w:numPr>
          <w:ilvl w:val="0"/>
          <w:numId w:val="6"/>
        </w:numPr>
        <w:spacing w:before="360" w:after="360"/>
        <w:jc w:val="center"/>
        <w:rPr>
          <w:sz w:val="28"/>
          <w:szCs w:val="28"/>
        </w:rPr>
      </w:pPr>
      <w:bookmarkStart w:id="5" w:name="_Toc289601769"/>
      <w:r w:rsidRPr="00AB1613">
        <w:rPr>
          <w:sz w:val="28"/>
          <w:szCs w:val="28"/>
        </w:rPr>
        <w:lastRenderedPageBreak/>
        <w:t>Felvételi adatok</w:t>
      </w:r>
      <w:bookmarkEnd w:id="5"/>
    </w:p>
    <w:bookmarkEnd w:id="2"/>
    <w:bookmarkEnd w:id="3"/>
    <w:p w:rsidR="002E79C9" w:rsidRDefault="002E79C9" w:rsidP="00500CFD">
      <w:pPr>
        <w:spacing w:before="120" w:after="120" w:line="360" w:lineRule="auto"/>
      </w:pPr>
    </w:p>
    <w:bookmarkStart w:id="6" w:name="_Toc116306116"/>
    <w:bookmarkStart w:id="7" w:name="_Toc116306166"/>
    <w:p w:rsidR="00500CFD" w:rsidRPr="00ED460B" w:rsidRDefault="00500CFD" w:rsidP="00500CFD">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Pr>
          <w:noProof/>
          <w:sz w:val="24"/>
          <w:szCs w:val="24"/>
        </w:rPr>
        <w:t>1</w:t>
      </w:r>
      <w:r w:rsidRPr="00D84EB7">
        <w:rPr>
          <w:sz w:val="24"/>
          <w:szCs w:val="24"/>
        </w:rPr>
        <w:fldChar w:fldCharType="end"/>
      </w:r>
      <w:r w:rsidRPr="00D84EB7">
        <w:rPr>
          <w:sz w:val="24"/>
          <w:szCs w:val="24"/>
        </w:rPr>
        <w:t xml:space="preserve">. </w:t>
      </w:r>
      <w:r>
        <w:rPr>
          <w:sz w:val="24"/>
          <w:szCs w:val="24"/>
        </w:rPr>
        <w:t>ábra</w:t>
      </w:r>
      <w:r w:rsidRPr="00D84EB7">
        <w:rPr>
          <w:sz w:val="24"/>
          <w:szCs w:val="24"/>
        </w:rPr>
        <w:t>:</w:t>
      </w:r>
      <w:r w:rsidRPr="00D068B5">
        <w:rPr>
          <w:sz w:val="24"/>
          <w:szCs w:val="24"/>
        </w:rPr>
        <w:t xml:space="preserve"> </w:t>
      </w:r>
      <w:bookmarkEnd w:id="6"/>
      <w:bookmarkEnd w:id="7"/>
      <w:r>
        <w:rPr>
          <w:sz w:val="24"/>
          <w:szCs w:val="24"/>
          <w:u w:val="single"/>
        </w:rPr>
        <w:t>A vegyész mesterszakra jelentkezők száma</w:t>
      </w:r>
    </w:p>
    <w:p w:rsidR="00500CFD" w:rsidRPr="00BA604A" w:rsidRDefault="004834F9" w:rsidP="00500CFD">
      <w:pPr>
        <w:jc w:val="center"/>
      </w:pPr>
      <w:r>
        <w:rPr>
          <w:noProof/>
        </w:rPr>
        <w:drawing>
          <wp:inline distT="0" distB="0" distL="0" distR="0">
            <wp:extent cx="5595634" cy="3806456"/>
            <wp:effectExtent l="0" t="0" r="508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7589" cy="3807786"/>
                    </a:xfrm>
                    <a:prstGeom prst="rect">
                      <a:avLst/>
                    </a:prstGeom>
                    <a:noFill/>
                    <a:ln>
                      <a:noFill/>
                    </a:ln>
                  </pic:spPr>
                </pic:pic>
              </a:graphicData>
            </a:graphic>
          </wp:inline>
        </w:drawing>
      </w:r>
    </w:p>
    <w:p w:rsidR="00500CFD" w:rsidRDefault="00500CFD" w:rsidP="00500CFD">
      <w:pPr>
        <w:spacing w:before="120" w:after="120" w:line="360" w:lineRule="auto"/>
      </w:pPr>
    </w:p>
    <w:p w:rsidR="00500CFD" w:rsidRPr="00ED460B" w:rsidRDefault="00500CFD" w:rsidP="00500CFD">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vegyész mesterszakra felvett hallgatók száma</w:t>
      </w:r>
    </w:p>
    <w:p w:rsidR="00500CFD" w:rsidRDefault="004834F9" w:rsidP="00500CFD">
      <w:pPr>
        <w:spacing w:before="120" w:after="120" w:line="360" w:lineRule="auto"/>
      </w:pPr>
      <w:r>
        <w:rPr>
          <w:noProof/>
        </w:rPr>
        <w:drawing>
          <wp:inline distT="0" distB="0" distL="0" distR="0">
            <wp:extent cx="5677786" cy="2946168"/>
            <wp:effectExtent l="0" t="0" r="0" b="698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7896" cy="2946225"/>
                    </a:xfrm>
                    <a:prstGeom prst="rect">
                      <a:avLst/>
                    </a:prstGeom>
                    <a:noFill/>
                    <a:ln>
                      <a:noFill/>
                    </a:ln>
                  </pic:spPr>
                </pic:pic>
              </a:graphicData>
            </a:graphic>
          </wp:inline>
        </w:drawing>
      </w:r>
    </w:p>
    <w:p w:rsidR="00500CFD" w:rsidRPr="00910D0C" w:rsidRDefault="00500CFD" w:rsidP="00500CFD">
      <w:pPr>
        <w:jc w:val="center"/>
      </w:pPr>
    </w:p>
    <w:p w:rsidR="003A5E47" w:rsidRDefault="003A5E47" w:rsidP="00ED460B">
      <w:pPr>
        <w:spacing w:before="120" w:after="120" w:line="360" w:lineRule="auto"/>
        <w:ind w:firstLine="539"/>
        <w:rPr>
          <w:i/>
          <w:iCs/>
          <w:color w:val="333399"/>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770"/>
      <w:r w:rsidRPr="001672C4">
        <w:rPr>
          <w:sz w:val="28"/>
          <w:szCs w:val="28"/>
        </w:rPr>
        <w:t>A szak hallgatóinak létszámváltozása</w:t>
      </w:r>
      <w:bookmarkEnd w:id="8"/>
    </w:p>
    <w:p w:rsidR="00ED460B" w:rsidRPr="004853DC" w:rsidRDefault="00507556" w:rsidP="00ED460B">
      <w:pPr>
        <w:pStyle w:val="Kpalrs"/>
        <w:keepNext/>
        <w:jc w:val="center"/>
        <w:rPr>
          <w:sz w:val="24"/>
          <w:szCs w:val="24"/>
        </w:rPr>
      </w:pPr>
      <w:r>
        <w:rPr>
          <w:sz w:val="24"/>
          <w:szCs w:val="24"/>
        </w:rPr>
        <w:t>1</w:t>
      </w:r>
      <w:r w:rsidR="00B81A1B" w:rsidRPr="00D84EB7">
        <w:rPr>
          <w:sz w:val="24"/>
          <w:szCs w:val="24"/>
        </w:rPr>
        <w:t>. táblázat:</w:t>
      </w:r>
      <w:r w:rsidR="00B81A1B" w:rsidRPr="00D068B5">
        <w:rPr>
          <w:sz w:val="24"/>
          <w:szCs w:val="24"/>
        </w:rPr>
        <w:t xml:space="preserve"> </w:t>
      </w:r>
      <w:r w:rsidR="00ED460B" w:rsidRPr="004853DC">
        <w:rPr>
          <w:sz w:val="24"/>
          <w:szCs w:val="24"/>
          <w:u w:val="single"/>
        </w:rPr>
        <w:t xml:space="preserve">Hallgatói létszám változása </w:t>
      </w:r>
    </w:p>
    <w:tbl>
      <w:tblPr>
        <w:tblW w:w="6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4"/>
        <w:gridCol w:w="974"/>
      </w:tblGrid>
      <w:tr w:rsidR="00C04706">
        <w:trPr>
          <w:jc w:val="center"/>
        </w:trPr>
        <w:tc>
          <w:tcPr>
            <w:tcW w:w="2338" w:type="dxa"/>
          </w:tcPr>
          <w:p w:rsidR="00C04706" w:rsidRDefault="00C04706" w:rsidP="00EF21BD">
            <w:pPr>
              <w:jc w:val="right"/>
            </w:pPr>
            <w:r>
              <w:t xml:space="preserve">évfolyam </w:t>
            </w:r>
          </w:p>
          <w:p w:rsidR="00C04706" w:rsidRDefault="00C04706" w:rsidP="00EF21BD">
            <w:r>
              <w:t>Tanév</w:t>
            </w:r>
          </w:p>
        </w:tc>
        <w:tc>
          <w:tcPr>
            <w:tcW w:w="973" w:type="dxa"/>
          </w:tcPr>
          <w:p w:rsidR="00C04706" w:rsidRDefault="00C04706" w:rsidP="00EF21BD">
            <w:pPr>
              <w:jc w:val="center"/>
            </w:pPr>
            <w:r>
              <w:t>I.</w:t>
            </w:r>
          </w:p>
        </w:tc>
        <w:tc>
          <w:tcPr>
            <w:tcW w:w="974" w:type="dxa"/>
          </w:tcPr>
          <w:p w:rsidR="00C04706" w:rsidRDefault="00C04706" w:rsidP="00EF21BD">
            <w:pPr>
              <w:jc w:val="center"/>
            </w:pPr>
            <w:r>
              <w:t>II.</w:t>
            </w:r>
          </w:p>
        </w:tc>
        <w:tc>
          <w:tcPr>
            <w:tcW w:w="974" w:type="dxa"/>
          </w:tcPr>
          <w:p w:rsidR="00C04706" w:rsidRPr="00C61859" w:rsidRDefault="00C04706" w:rsidP="00EF21BD">
            <w:pPr>
              <w:jc w:val="center"/>
            </w:pPr>
            <w:r w:rsidRPr="00C61859">
              <w:t>KIT</w:t>
            </w:r>
          </w:p>
        </w:tc>
        <w:tc>
          <w:tcPr>
            <w:tcW w:w="974" w:type="dxa"/>
          </w:tcPr>
          <w:p w:rsidR="00C04706" w:rsidRDefault="00C04706" w:rsidP="00EF21BD">
            <w:pPr>
              <w:jc w:val="center"/>
              <w:rPr>
                <w:b/>
              </w:rPr>
            </w:pPr>
            <w:r>
              <w:rPr>
                <w:b/>
              </w:rPr>
              <w:t>Összes</w:t>
            </w:r>
          </w:p>
        </w:tc>
      </w:tr>
      <w:tr w:rsidR="00C04706" w:rsidRPr="002D6161" w:rsidTr="008C6907">
        <w:trPr>
          <w:cantSplit/>
          <w:jc w:val="center"/>
        </w:trPr>
        <w:tc>
          <w:tcPr>
            <w:tcW w:w="2338" w:type="dxa"/>
            <w:shd w:val="clear" w:color="auto" w:fill="auto"/>
          </w:tcPr>
          <w:p w:rsidR="00C04706" w:rsidRDefault="00C04706" w:rsidP="00EF21BD">
            <w:r>
              <w:t>2008/09</w:t>
            </w:r>
          </w:p>
        </w:tc>
        <w:tc>
          <w:tcPr>
            <w:tcW w:w="973" w:type="dxa"/>
            <w:shd w:val="clear" w:color="auto" w:fill="BFBFBF" w:themeFill="background1" w:themeFillShade="BF"/>
          </w:tcPr>
          <w:p w:rsidR="00C04706" w:rsidRDefault="00C04706" w:rsidP="00EF21BD">
            <w:pPr>
              <w:jc w:val="center"/>
              <w:rPr>
                <w:b/>
              </w:rPr>
            </w:pPr>
            <w:r>
              <w:rPr>
                <w:b/>
              </w:rPr>
              <w:t>4</w:t>
            </w:r>
          </w:p>
        </w:tc>
        <w:tc>
          <w:tcPr>
            <w:tcW w:w="974" w:type="dxa"/>
            <w:shd w:val="clear" w:color="auto" w:fill="FFFFFF"/>
          </w:tcPr>
          <w:p w:rsidR="00C04706" w:rsidRDefault="00C04706" w:rsidP="00EF21BD">
            <w:pPr>
              <w:tabs>
                <w:tab w:val="left" w:pos="220"/>
                <w:tab w:val="center" w:pos="417"/>
              </w:tabs>
              <w:jc w:val="center"/>
              <w:rPr>
                <w:b/>
              </w:rPr>
            </w:pPr>
            <w:r>
              <w:rPr>
                <w:b/>
              </w:rPr>
              <w:t>-</w:t>
            </w:r>
          </w:p>
        </w:tc>
        <w:tc>
          <w:tcPr>
            <w:tcW w:w="974" w:type="dxa"/>
            <w:shd w:val="clear" w:color="auto" w:fill="BFBFBF" w:themeFill="background1" w:themeFillShade="B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4</w:t>
            </w:r>
          </w:p>
        </w:tc>
      </w:tr>
      <w:tr w:rsidR="00C04706" w:rsidRPr="002D6161" w:rsidTr="008C6907">
        <w:trPr>
          <w:cantSplit/>
          <w:jc w:val="center"/>
        </w:trPr>
        <w:tc>
          <w:tcPr>
            <w:tcW w:w="2338" w:type="dxa"/>
            <w:shd w:val="clear" w:color="auto" w:fill="auto"/>
          </w:tcPr>
          <w:p w:rsidR="00C04706" w:rsidRDefault="00C04706" w:rsidP="00EF21BD">
            <w:r>
              <w:t>2009/10</w:t>
            </w:r>
          </w:p>
        </w:tc>
        <w:tc>
          <w:tcPr>
            <w:tcW w:w="973" w:type="dxa"/>
            <w:shd w:val="clear" w:color="auto" w:fill="FFFFFF"/>
          </w:tcPr>
          <w:p w:rsidR="00C04706" w:rsidRDefault="00C04706" w:rsidP="00EF21BD">
            <w:pPr>
              <w:jc w:val="center"/>
              <w:rPr>
                <w:b/>
              </w:rPr>
            </w:pPr>
            <w:r>
              <w:rPr>
                <w:b/>
              </w:rPr>
              <w:t>3</w:t>
            </w:r>
          </w:p>
        </w:tc>
        <w:tc>
          <w:tcPr>
            <w:tcW w:w="974" w:type="dxa"/>
            <w:shd w:val="clear" w:color="auto" w:fill="BFBFBF" w:themeFill="background1" w:themeFillShade="BF"/>
          </w:tcPr>
          <w:p w:rsidR="00C04706" w:rsidRDefault="00C04706" w:rsidP="00EF21BD">
            <w:pPr>
              <w:tabs>
                <w:tab w:val="left" w:pos="220"/>
                <w:tab w:val="center" w:pos="417"/>
              </w:tabs>
              <w:jc w:val="center"/>
              <w:rPr>
                <w:b/>
              </w:rPr>
            </w:pPr>
            <w:r>
              <w:rPr>
                <w:b/>
              </w:rPr>
              <w:t>3</w:t>
            </w:r>
          </w:p>
        </w:tc>
        <w:tc>
          <w:tcPr>
            <w:tcW w:w="974" w:type="dxa"/>
            <w:shd w:val="clear" w:color="auto" w:fill="FFFFF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6</w:t>
            </w:r>
          </w:p>
        </w:tc>
      </w:tr>
      <w:tr w:rsidR="00EC055F" w:rsidRPr="002D6161" w:rsidTr="008C6907">
        <w:trPr>
          <w:cantSplit/>
          <w:jc w:val="center"/>
        </w:trPr>
        <w:tc>
          <w:tcPr>
            <w:tcW w:w="2338" w:type="dxa"/>
            <w:shd w:val="clear" w:color="auto" w:fill="auto"/>
          </w:tcPr>
          <w:p w:rsidR="00EC055F" w:rsidRDefault="00EC055F" w:rsidP="00EF21BD">
            <w:r>
              <w:t>2010/11</w:t>
            </w:r>
          </w:p>
        </w:tc>
        <w:tc>
          <w:tcPr>
            <w:tcW w:w="973" w:type="dxa"/>
            <w:shd w:val="clear" w:color="auto" w:fill="BFBFBF" w:themeFill="background1" w:themeFillShade="BF"/>
          </w:tcPr>
          <w:p w:rsidR="00EC055F" w:rsidRDefault="00EC055F" w:rsidP="00EF21BD">
            <w:pPr>
              <w:jc w:val="center"/>
              <w:rPr>
                <w:b/>
              </w:rPr>
            </w:pPr>
            <w:r>
              <w:rPr>
                <w:b/>
              </w:rPr>
              <w:t>3</w:t>
            </w:r>
          </w:p>
        </w:tc>
        <w:tc>
          <w:tcPr>
            <w:tcW w:w="974" w:type="dxa"/>
            <w:shd w:val="clear" w:color="auto" w:fill="FFFFFF"/>
          </w:tcPr>
          <w:p w:rsidR="00EC055F" w:rsidRDefault="00EC055F" w:rsidP="00EF21BD">
            <w:pPr>
              <w:tabs>
                <w:tab w:val="left" w:pos="220"/>
                <w:tab w:val="center" w:pos="417"/>
              </w:tabs>
              <w:jc w:val="center"/>
              <w:rPr>
                <w:b/>
              </w:rPr>
            </w:pPr>
            <w:r>
              <w:rPr>
                <w:b/>
              </w:rPr>
              <w:t>3</w:t>
            </w:r>
          </w:p>
        </w:tc>
        <w:tc>
          <w:tcPr>
            <w:tcW w:w="974" w:type="dxa"/>
            <w:shd w:val="clear" w:color="auto" w:fill="BFBFBF" w:themeFill="background1" w:themeFillShade="BF"/>
          </w:tcPr>
          <w:p w:rsidR="00EC055F" w:rsidRDefault="00EC055F" w:rsidP="00EF21BD">
            <w:pPr>
              <w:jc w:val="center"/>
              <w:rPr>
                <w:b/>
              </w:rPr>
            </w:pPr>
            <w:r>
              <w:rPr>
                <w:b/>
              </w:rPr>
              <w:t>-</w:t>
            </w:r>
          </w:p>
        </w:tc>
        <w:tc>
          <w:tcPr>
            <w:tcW w:w="974" w:type="dxa"/>
            <w:shd w:val="clear" w:color="auto" w:fill="FFFFFF"/>
          </w:tcPr>
          <w:p w:rsidR="00EC055F" w:rsidRDefault="00EC055F" w:rsidP="00EF21BD">
            <w:pPr>
              <w:jc w:val="center"/>
              <w:rPr>
                <w:b/>
              </w:rPr>
            </w:pPr>
            <w:r>
              <w:rPr>
                <w:b/>
              </w:rPr>
              <w:t>6</w:t>
            </w:r>
          </w:p>
        </w:tc>
      </w:tr>
      <w:tr w:rsidR="007A2BC2" w:rsidRPr="002D6161" w:rsidTr="008C6907">
        <w:trPr>
          <w:cantSplit/>
          <w:jc w:val="center"/>
        </w:trPr>
        <w:tc>
          <w:tcPr>
            <w:tcW w:w="2338" w:type="dxa"/>
            <w:shd w:val="clear" w:color="auto" w:fill="auto"/>
          </w:tcPr>
          <w:p w:rsidR="007A2BC2" w:rsidRDefault="00526020" w:rsidP="00EF21BD">
            <w:r>
              <w:t>2011/12</w:t>
            </w:r>
          </w:p>
        </w:tc>
        <w:tc>
          <w:tcPr>
            <w:tcW w:w="973" w:type="dxa"/>
            <w:shd w:val="clear" w:color="auto" w:fill="FFFFFF"/>
          </w:tcPr>
          <w:p w:rsidR="007A2BC2" w:rsidRDefault="00526020" w:rsidP="00EF21BD">
            <w:pPr>
              <w:jc w:val="center"/>
              <w:rPr>
                <w:b/>
              </w:rPr>
            </w:pPr>
            <w:r>
              <w:rPr>
                <w:b/>
              </w:rPr>
              <w:t>6</w:t>
            </w:r>
          </w:p>
        </w:tc>
        <w:tc>
          <w:tcPr>
            <w:tcW w:w="974" w:type="dxa"/>
            <w:shd w:val="clear" w:color="auto" w:fill="BFBFBF" w:themeFill="background1" w:themeFillShade="BF"/>
          </w:tcPr>
          <w:p w:rsidR="007A2BC2" w:rsidRDefault="00526020" w:rsidP="007A2BC2">
            <w:pPr>
              <w:jc w:val="center"/>
              <w:rPr>
                <w:b/>
              </w:rPr>
            </w:pPr>
            <w:r>
              <w:rPr>
                <w:b/>
              </w:rPr>
              <w:t>3</w:t>
            </w:r>
          </w:p>
        </w:tc>
        <w:tc>
          <w:tcPr>
            <w:tcW w:w="974" w:type="dxa"/>
            <w:shd w:val="clear" w:color="auto" w:fill="FFFFFF"/>
          </w:tcPr>
          <w:p w:rsidR="007A2BC2" w:rsidRDefault="00526020" w:rsidP="00EF21BD">
            <w:pPr>
              <w:jc w:val="center"/>
              <w:rPr>
                <w:b/>
              </w:rPr>
            </w:pPr>
            <w:r>
              <w:rPr>
                <w:b/>
              </w:rPr>
              <w:t>-</w:t>
            </w:r>
          </w:p>
        </w:tc>
        <w:tc>
          <w:tcPr>
            <w:tcW w:w="974" w:type="dxa"/>
            <w:shd w:val="clear" w:color="auto" w:fill="FFFFFF"/>
          </w:tcPr>
          <w:p w:rsidR="007A2BC2" w:rsidRDefault="00526020" w:rsidP="00EF21BD">
            <w:pPr>
              <w:jc w:val="center"/>
              <w:rPr>
                <w:b/>
              </w:rPr>
            </w:pPr>
            <w:r>
              <w:rPr>
                <w:b/>
              </w:rPr>
              <w:t>9</w:t>
            </w:r>
          </w:p>
        </w:tc>
      </w:tr>
      <w:tr w:rsidR="008E2978" w:rsidRPr="002D6161" w:rsidTr="008C6907">
        <w:trPr>
          <w:cantSplit/>
          <w:jc w:val="center"/>
        </w:trPr>
        <w:tc>
          <w:tcPr>
            <w:tcW w:w="2338" w:type="dxa"/>
            <w:shd w:val="clear" w:color="auto" w:fill="auto"/>
          </w:tcPr>
          <w:p w:rsidR="008E2978" w:rsidRDefault="008E2978" w:rsidP="00790303">
            <w:r>
              <w:t>2012/13</w:t>
            </w:r>
          </w:p>
        </w:tc>
        <w:tc>
          <w:tcPr>
            <w:tcW w:w="973" w:type="dxa"/>
            <w:shd w:val="clear" w:color="auto" w:fill="BFBFBF" w:themeFill="background1" w:themeFillShade="BF"/>
          </w:tcPr>
          <w:p w:rsidR="008E2978" w:rsidRDefault="008E2978" w:rsidP="00790303">
            <w:pPr>
              <w:jc w:val="center"/>
              <w:rPr>
                <w:b/>
              </w:rPr>
            </w:pPr>
            <w:r>
              <w:rPr>
                <w:b/>
              </w:rPr>
              <w:t>3</w:t>
            </w:r>
          </w:p>
        </w:tc>
        <w:tc>
          <w:tcPr>
            <w:tcW w:w="974" w:type="dxa"/>
            <w:shd w:val="clear" w:color="auto" w:fill="FFFFFF"/>
          </w:tcPr>
          <w:p w:rsidR="008E2978" w:rsidRDefault="008E2978" w:rsidP="00790303">
            <w:pPr>
              <w:tabs>
                <w:tab w:val="left" w:pos="220"/>
                <w:tab w:val="center" w:pos="417"/>
              </w:tabs>
              <w:jc w:val="center"/>
              <w:rPr>
                <w:b/>
              </w:rPr>
            </w:pPr>
            <w:r>
              <w:rPr>
                <w:b/>
              </w:rPr>
              <w:t>1</w:t>
            </w:r>
          </w:p>
        </w:tc>
        <w:tc>
          <w:tcPr>
            <w:tcW w:w="974" w:type="dxa"/>
            <w:shd w:val="clear" w:color="auto" w:fill="BFBFBF" w:themeFill="background1" w:themeFillShade="BF"/>
          </w:tcPr>
          <w:p w:rsidR="008E2978" w:rsidRDefault="008B4EC8" w:rsidP="00790303">
            <w:pPr>
              <w:jc w:val="center"/>
              <w:rPr>
                <w:b/>
              </w:rPr>
            </w:pPr>
            <w:r>
              <w:rPr>
                <w:b/>
              </w:rPr>
              <w:t>-</w:t>
            </w:r>
          </w:p>
        </w:tc>
        <w:tc>
          <w:tcPr>
            <w:tcW w:w="974" w:type="dxa"/>
            <w:shd w:val="clear" w:color="auto" w:fill="FFFFFF"/>
          </w:tcPr>
          <w:p w:rsidR="008E2978" w:rsidRDefault="008E2978" w:rsidP="00790303">
            <w:pPr>
              <w:jc w:val="center"/>
              <w:rPr>
                <w:b/>
              </w:rPr>
            </w:pPr>
            <w:r>
              <w:rPr>
                <w:b/>
              </w:rPr>
              <w:t>4</w:t>
            </w:r>
          </w:p>
        </w:tc>
      </w:tr>
      <w:tr w:rsidR="004D6386" w:rsidRPr="002D6161" w:rsidTr="008C6907">
        <w:trPr>
          <w:cantSplit/>
          <w:jc w:val="center"/>
        </w:trPr>
        <w:tc>
          <w:tcPr>
            <w:tcW w:w="2338" w:type="dxa"/>
            <w:shd w:val="clear" w:color="auto" w:fill="auto"/>
          </w:tcPr>
          <w:p w:rsidR="004D6386" w:rsidRDefault="004D6386" w:rsidP="00790303">
            <w:r>
              <w:t>2013/14</w:t>
            </w:r>
          </w:p>
        </w:tc>
        <w:tc>
          <w:tcPr>
            <w:tcW w:w="973" w:type="dxa"/>
            <w:shd w:val="clear" w:color="auto" w:fill="FFFFFF"/>
          </w:tcPr>
          <w:p w:rsidR="004D6386" w:rsidRDefault="00FD5FDF" w:rsidP="00790303">
            <w:pPr>
              <w:jc w:val="center"/>
              <w:rPr>
                <w:b/>
              </w:rPr>
            </w:pPr>
            <w:r>
              <w:rPr>
                <w:b/>
              </w:rPr>
              <w:t>3</w:t>
            </w:r>
          </w:p>
        </w:tc>
        <w:tc>
          <w:tcPr>
            <w:tcW w:w="974" w:type="dxa"/>
            <w:shd w:val="clear" w:color="auto" w:fill="BFBFBF" w:themeFill="background1" w:themeFillShade="BF"/>
          </w:tcPr>
          <w:p w:rsidR="004D6386" w:rsidRDefault="008067B3" w:rsidP="00790303">
            <w:pPr>
              <w:tabs>
                <w:tab w:val="left" w:pos="220"/>
                <w:tab w:val="center" w:pos="417"/>
              </w:tabs>
              <w:jc w:val="center"/>
              <w:rPr>
                <w:b/>
              </w:rPr>
            </w:pPr>
            <w:r>
              <w:rPr>
                <w:b/>
              </w:rPr>
              <w:t>3</w:t>
            </w:r>
          </w:p>
        </w:tc>
        <w:tc>
          <w:tcPr>
            <w:tcW w:w="974" w:type="dxa"/>
            <w:shd w:val="clear" w:color="auto" w:fill="FFFFFF"/>
          </w:tcPr>
          <w:p w:rsidR="004D6386" w:rsidRDefault="008067B3" w:rsidP="00790303">
            <w:pPr>
              <w:jc w:val="center"/>
              <w:rPr>
                <w:b/>
              </w:rPr>
            </w:pPr>
            <w:r>
              <w:rPr>
                <w:b/>
              </w:rPr>
              <w:t>1</w:t>
            </w:r>
          </w:p>
        </w:tc>
        <w:tc>
          <w:tcPr>
            <w:tcW w:w="974" w:type="dxa"/>
            <w:shd w:val="clear" w:color="auto" w:fill="FFFFFF"/>
          </w:tcPr>
          <w:p w:rsidR="004D6386" w:rsidRDefault="008067B3" w:rsidP="00790303">
            <w:pPr>
              <w:jc w:val="center"/>
              <w:rPr>
                <w:b/>
              </w:rPr>
            </w:pPr>
            <w:r>
              <w:rPr>
                <w:b/>
              </w:rPr>
              <w:t>7</w:t>
            </w:r>
          </w:p>
        </w:tc>
      </w:tr>
      <w:tr w:rsidR="009D11F8" w:rsidRPr="002D6161" w:rsidTr="008C6907">
        <w:trPr>
          <w:cantSplit/>
          <w:jc w:val="center"/>
        </w:trPr>
        <w:tc>
          <w:tcPr>
            <w:tcW w:w="2338" w:type="dxa"/>
            <w:shd w:val="clear" w:color="auto" w:fill="auto"/>
          </w:tcPr>
          <w:p w:rsidR="009D11F8" w:rsidRDefault="009D11F8" w:rsidP="00790303">
            <w:r>
              <w:t>2014/15</w:t>
            </w:r>
          </w:p>
        </w:tc>
        <w:tc>
          <w:tcPr>
            <w:tcW w:w="973" w:type="dxa"/>
            <w:shd w:val="clear" w:color="auto" w:fill="BFBFBF" w:themeFill="background1" w:themeFillShade="BF"/>
          </w:tcPr>
          <w:p w:rsidR="009D11F8" w:rsidRDefault="00A74ED9" w:rsidP="00790303">
            <w:pPr>
              <w:jc w:val="center"/>
              <w:rPr>
                <w:b/>
              </w:rPr>
            </w:pPr>
            <w:r>
              <w:rPr>
                <w:b/>
              </w:rPr>
              <w:t>3</w:t>
            </w:r>
          </w:p>
        </w:tc>
        <w:tc>
          <w:tcPr>
            <w:tcW w:w="974" w:type="dxa"/>
            <w:shd w:val="clear" w:color="auto" w:fill="FFFFFF"/>
          </w:tcPr>
          <w:p w:rsidR="009D11F8" w:rsidRDefault="00A74ED9" w:rsidP="00790303">
            <w:pPr>
              <w:tabs>
                <w:tab w:val="left" w:pos="220"/>
                <w:tab w:val="center" w:pos="417"/>
              </w:tabs>
              <w:jc w:val="center"/>
              <w:rPr>
                <w:b/>
              </w:rPr>
            </w:pPr>
            <w:r>
              <w:rPr>
                <w:b/>
              </w:rPr>
              <w:t>3</w:t>
            </w:r>
          </w:p>
        </w:tc>
        <w:tc>
          <w:tcPr>
            <w:tcW w:w="974" w:type="dxa"/>
            <w:shd w:val="clear" w:color="auto" w:fill="BFBFBF" w:themeFill="background1" w:themeFillShade="BF"/>
          </w:tcPr>
          <w:p w:rsidR="009D11F8" w:rsidRDefault="00A74ED9" w:rsidP="00790303">
            <w:pPr>
              <w:jc w:val="center"/>
              <w:rPr>
                <w:b/>
              </w:rPr>
            </w:pPr>
            <w:r>
              <w:rPr>
                <w:b/>
              </w:rPr>
              <w:t>-</w:t>
            </w:r>
          </w:p>
        </w:tc>
        <w:tc>
          <w:tcPr>
            <w:tcW w:w="974" w:type="dxa"/>
            <w:shd w:val="clear" w:color="auto" w:fill="FFFFFF"/>
          </w:tcPr>
          <w:p w:rsidR="009D11F8" w:rsidRDefault="00A74ED9" w:rsidP="00790303">
            <w:pPr>
              <w:jc w:val="center"/>
              <w:rPr>
                <w:b/>
              </w:rPr>
            </w:pPr>
            <w:r>
              <w:rPr>
                <w:b/>
              </w:rPr>
              <w:t>6</w:t>
            </w:r>
          </w:p>
        </w:tc>
      </w:tr>
      <w:tr w:rsidR="008C6907" w:rsidRPr="002D6161" w:rsidTr="008C6907">
        <w:trPr>
          <w:cantSplit/>
          <w:jc w:val="center"/>
        </w:trPr>
        <w:tc>
          <w:tcPr>
            <w:tcW w:w="2338" w:type="dxa"/>
            <w:shd w:val="clear" w:color="auto" w:fill="auto"/>
          </w:tcPr>
          <w:p w:rsidR="008C6907" w:rsidRDefault="008C6907" w:rsidP="00790303">
            <w:r>
              <w:t>2015/16</w:t>
            </w:r>
          </w:p>
        </w:tc>
        <w:tc>
          <w:tcPr>
            <w:tcW w:w="973" w:type="dxa"/>
            <w:shd w:val="clear" w:color="auto" w:fill="FFFFFF"/>
          </w:tcPr>
          <w:p w:rsidR="008C6907" w:rsidRDefault="009C7758" w:rsidP="00790303">
            <w:pPr>
              <w:jc w:val="center"/>
              <w:rPr>
                <w:b/>
              </w:rPr>
            </w:pPr>
            <w:r>
              <w:rPr>
                <w:b/>
              </w:rPr>
              <w:t>3</w:t>
            </w:r>
          </w:p>
        </w:tc>
        <w:tc>
          <w:tcPr>
            <w:tcW w:w="974" w:type="dxa"/>
            <w:shd w:val="clear" w:color="auto" w:fill="BFBFBF" w:themeFill="background1" w:themeFillShade="BF"/>
          </w:tcPr>
          <w:p w:rsidR="008C6907" w:rsidRDefault="007A162B" w:rsidP="00790303">
            <w:pPr>
              <w:tabs>
                <w:tab w:val="left" w:pos="220"/>
                <w:tab w:val="center" w:pos="417"/>
              </w:tabs>
              <w:jc w:val="center"/>
              <w:rPr>
                <w:b/>
              </w:rPr>
            </w:pPr>
            <w:r>
              <w:rPr>
                <w:b/>
              </w:rPr>
              <w:t>2</w:t>
            </w:r>
          </w:p>
        </w:tc>
        <w:tc>
          <w:tcPr>
            <w:tcW w:w="974" w:type="dxa"/>
            <w:shd w:val="clear" w:color="auto" w:fill="FFFFFF"/>
          </w:tcPr>
          <w:p w:rsidR="008C6907" w:rsidRDefault="007A162B" w:rsidP="00790303">
            <w:pPr>
              <w:jc w:val="center"/>
              <w:rPr>
                <w:b/>
              </w:rPr>
            </w:pPr>
            <w:r>
              <w:rPr>
                <w:b/>
              </w:rPr>
              <w:t>-</w:t>
            </w:r>
          </w:p>
        </w:tc>
        <w:tc>
          <w:tcPr>
            <w:tcW w:w="974" w:type="dxa"/>
            <w:shd w:val="clear" w:color="auto" w:fill="FFFFFF"/>
          </w:tcPr>
          <w:p w:rsidR="008C6907" w:rsidRDefault="00AB761F" w:rsidP="00790303">
            <w:pPr>
              <w:jc w:val="center"/>
              <w:rPr>
                <w:b/>
              </w:rPr>
            </w:pPr>
            <w:r>
              <w:rPr>
                <w:b/>
              </w:rPr>
              <w:t>5</w:t>
            </w:r>
          </w:p>
        </w:tc>
      </w:tr>
      <w:tr w:rsidR="00BA34BA" w:rsidRPr="002D6161" w:rsidTr="00BA34BA">
        <w:trPr>
          <w:cantSplit/>
          <w:jc w:val="center"/>
        </w:trPr>
        <w:tc>
          <w:tcPr>
            <w:tcW w:w="2338" w:type="dxa"/>
            <w:shd w:val="clear" w:color="auto" w:fill="auto"/>
          </w:tcPr>
          <w:p w:rsidR="00BA34BA" w:rsidRDefault="00BA34BA" w:rsidP="00790303">
            <w:r>
              <w:t>2016/17</w:t>
            </w:r>
          </w:p>
        </w:tc>
        <w:tc>
          <w:tcPr>
            <w:tcW w:w="973" w:type="dxa"/>
            <w:shd w:val="clear" w:color="auto" w:fill="BFBFBF" w:themeFill="background1" w:themeFillShade="BF"/>
          </w:tcPr>
          <w:p w:rsidR="00BA34BA" w:rsidRDefault="0031697B" w:rsidP="00790303">
            <w:pPr>
              <w:jc w:val="center"/>
              <w:rPr>
                <w:b/>
              </w:rPr>
            </w:pPr>
            <w:r>
              <w:rPr>
                <w:b/>
              </w:rPr>
              <w:t>1</w:t>
            </w:r>
            <w:r w:rsidR="00CC3886">
              <w:rPr>
                <w:b/>
              </w:rPr>
              <w:t>3</w:t>
            </w:r>
          </w:p>
        </w:tc>
        <w:tc>
          <w:tcPr>
            <w:tcW w:w="974" w:type="dxa"/>
            <w:shd w:val="clear" w:color="auto" w:fill="auto"/>
          </w:tcPr>
          <w:p w:rsidR="00BA34BA" w:rsidRDefault="00CC3886" w:rsidP="00790303">
            <w:pPr>
              <w:tabs>
                <w:tab w:val="left" w:pos="220"/>
                <w:tab w:val="center" w:pos="417"/>
              </w:tabs>
              <w:jc w:val="center"/>
              <w:rPr>
                <w:b/>
              </w:rPr>
            </w:pPr>
            <w:r>
              <w:rPr>
                <w:b/>
              </w:rPr>
              <w:t>5</w:t>
            </w:r>
          </w:p>
        </w:tc>
        <w:tc>
          <w:tcPr>
            <w:tcW w:w="974" w:type="dxa"/>
            <w:shd w:val="clear" w:color="auto" w:fill="BFBFBF" w:themeFill="background1" w:themeFillShade="BF"/>
          </w:tcPr>
          <w:p w:rsidR="00BA34BA" w:rsidRDefault="002417CB" w:rsidP="002417CB">
            <w:pPr>
              <w:jc w:val="center"/>
              <w:rPr>
                <w:b/>
              </w:rPr>
            </w:pPr>
            <w:r>
              <w:rPr>
                <w:b/>
              </w:rPr>
              <w:t>-</w:t>
            </w:r>
          </w:p>
        </w:tc>
        <w:tc>
          <w:tcPr>
            <w:tcW w:w="974" w:type="dxa"/>
            <w:shd w:val="clear" w:color="auto" w:fill="FFFFFF"/>
          </w:tcPr>
          <w:p w:rsidR="00BA34BA" w:rsidRDefault="00564276" w:rsidP="00790303">
            <w:pPr>
              <w:jc w:val="center"/>
              <w:rPr>
                <w:b/>
              </w:rPr>
            </w:pPr>
            <w:r>
              <w:rPr>
                <w:b/>
              </w:rPr>
              <w:t>1</w:t>
            </w:r>
            <w:r w:rsidR="00CC3886">
              <w:rPr>
                <w:b/>
              </w:rPr>
              <w:t>8</w:t>
            </w:r>
          </w:p>
        </w:tc>
      </w:tr>
      <w:tr w:rsidR="003B708A" w:rsidRPr="002D6161" w:rsidTr="00056335">
        <w:trPr>
          <w:cantSplit/>
          <w:jc w:val="center"/>
        </w:trPr>
        <w:tc>
          <w:tcPr>
            <w:tcW w:w="2338" w:type="dxa"/>
            <w:shd w:val="clear" w:color="auto" w:fill="auto"/>
          </w:tcPr>
          <w:p w:rsidR="003B708A" w:rsidRDefault="003B708A" w:rsidP="00790303">
            <w:r>
              <w:t>2017/18</w:t>
            </w:r>
          </w:p>
        </w:tc>
        <w:tc>
          <w:tcPr>
            <w:tcW w:w="973" w:type="dxa"/>
            <w:shd w:val="clear" w:color="auto" w:fill="auto"/>
          </w:tcPr>
          <w:p w:rsidR="003B708A" w:rsidRPr="003B708A" w:rsidRDefault="003B708A" w:rsidP="003B708A">
            <w:pPr>
              <w:jc w:val="center"/>
              <w:rPr>
                <w:b/>
              </w:rPr>
            </w:pPr>
            <w:r w:rsidRPr="003B708A">
              <w:rPr>
                <w:b/>
              </w:rPr>
              <w:t>5</w:t>
            </w:r>
          </w:p>
        </w:tc>
        <w:tc>
          <w:tcPr>
            <w:tcW w:w="974" w:type="dxa"/>
            <w:shd w:val="clear" w:color="auto" w:fill="BFBFBF" w:themeFill="background1" w:themeFillShade="BF"/>
          </w:tcPr>
          <w:p w:rsidR="003B708A" w:rsidRPr="003B708A" w:rsidRDefault="003B708A" w:rsidP="003B708A">
            <w:pPr>
              <w:jc w:val="center"/>
              <w:rPr>
                <w:b/>
              </w:rPr>
            </w:pPr>
            <w:r w:rsidRPr="003B708A">
              <w:rPr>
                <w:b/>
              </w:rPr>
              <w:t>11</w:t>
            </w:r>
          </w:p>
        </w:tc>
        <w:tc>
          <w:tcPr>
            <w:tcW w:w="974" w:type="dxa"/>
            <w:shd w:val="clear" w:color="auto" w:fill="auto"/>
          </w:tcPr>
          <w:p w:rsidR="003B708A" w:rsidRPr="003B708A" w:rsidRDefault="003B708A" w:rsidP="003B708A">
            <w:pPr>
              <w:jc w:val="center"/>
              <w:rPr>
                <w:b/>
              </w:rPr>
            </w:pPr>
            <w:r w:rsidRPr="003B708A">
              <w:rPr>
                <w:b/>
              </w:rPr>
              <w:t>0</w:t>
            </w:r>
          </w:p>
        </w:tc>
        <w:tc>
          <w:tcPr>
            <w:tcW w:w="974" w:type="dxa"/>
            <w:shd w:val="clear" w:color="auto" w:fill="auto"/>
          </w:tcPr>
          <w:p w:rsidR="003B708A" w:rsidRPr="003B708A" w:rsidRDefault="003B708A" w:rsidP="003B708A">
            <w:pPr>
              <w:jc w:val="center"/>
              <w:rPr>
                <w:b/>
              </w:rPr>
            </w:pPr>
            <w:r w:rsidRPr="003B708A">
              <w:rPr>
                <w:b/>
              </w:rPr>
              <w:t>16</w:t>
            </w:r>
          </w:p>
        </w:tc>
      </w:tr>
    </w:tbl>
    <w:p w:rsidR="00ED460B" w:rsidRDefault="00ED460B" w:rsidP="00C86BB2">
      <w:pPr>
        <w:spacing w:before="120" w:after="120"/>
        <w:jc w:val="center"/>
      </w:pPr>
    </w:p>
    <w:p w:rsidR="0054523E" w:rsidRPr="004853DC" w:rsidRDefault="00507556" w:rsidP="0054523E">
      <w:pPr>
        <w:pStyle w:val="Kpalrs"/>
        <w:keepNext/>
        <w:jc w:val="center"/>
        <w:rPr>
          <w:sz w:val="24"/>
          <w:szCs w:val="24"/>
        </w:rPr>
      </w:pPr>
      <w:r>
        <w:rPr>
          <w:sz w:val="24"/>
          <w:szCs w:val="24"/>
        </w:rPr>
        <w:t>2</w:t>
      </w:r>
      <w:r w:rsidR="00B81A1B" w:rsidRPr="00D84EB7">
        <w:rPr>
          <w:sz w:val="24"/>
          <w:szCs w:val="24"/>
        </w:rPr>
        <w:t>. táblázat</w:t>
      </w:r>
      <w:r w:rsidR="0054523E" w:rsidRPr="004853DC">
        <w:rPr>
          <w:sz w:val="24"/>
          <w:szCs w:val="24"/>
        </w:rPr>
        <w:t xml:space="preserve">: </w:t>
      </w:r>
      <w:r w:rsidR="0054523E">
        <w:rPr>
          <w:sz w:val="24"/>
          <w:szCs w:val="24"/>
        </w:rPr>
        <w:t>Kreditteljesítés</w:t>
      </w:r>
      <w:r w:rsidR="00C86BB2">
        <w:rPr>
          <w:sz w:val="24"/>
          <w:szCs w:val="24"/>
        </w:rPr>
        <w:t xml:space="preserve"> a 20</w:t>
      </w:r>
      <w:r w:rsidR="00526020">
        <w:rPr>
          <w:sz w:val="24"/>
          <w:szCs w:val="24"/>
        </w:rPr>
        <w:t>1</w:t>
      </w:r>
      <w:r w:rsidR="00056335">
        <w:rPr>
          <w:sz w:val="24"/>
          <w:szCs w:val="24"/>
        </w:rPr>
        <w:t>7/</w:t>
      </w:r>
      <w:r w:rsidR="00AE336D">
        <w:rPr>
          <w:sz w:val="24"/>
          <w:szCs w:val="24"/>
        </w:rPr>
        <w:t>1</w:t>
      </w:r>
      <w:r w:rsidR="00056335">
        <w:rPr>
          <w:sz w:val="24"/>
          <w:szCs w:val="24"/>
        </w:rPr>
        <w:t>8</w:t>
      </w:r>
      <w:r w:rsidR="0077278E">
        <w:rPr>
          <w:sz w:val="24"/>
          <w:szCs w:val="24"/>
        </w:rPr>
        <w:t>. tanévben</w:t>
      </w:r>
    </w:p>
    <w:tbl>
      <w:tblPr>
        <w:tblW w:w="722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7"/>
        <w:gridCol w:w="851"/>
        <w:gridCol w:w="851"/>
        <w:gridCol w:w="850"/>
        <w:gridCol w:w="850"/>
      </w:tblGrid>
      <w:tr w:rsidR="00CC3886" w:rsidTr="00CC3886">
        <w:trPr>
          <w:trHeight w:val="360"/>
          <w:jc w:val="center"/>
        </w:trPr>
        <w:tc>
          <w:tcPr>
            <w:tcW w:w="3827" w:type="dxa"/>
            <w:shd w:val="pct15" w:color="000000" w:fill="FFFFFF"/>
            <w:vAlign w:val="center"/>
          </w:tcPr>
          <w:p w:rsidR="00CC3886" w:rsidRPr="00172A43" w:rsidRDefault="00CC3886" w:rsidP="000602CA">
            <w:pPr>
              <w:jc w:val="center"/>
              <w:rPr>
                <w:b/>
                <w:snapToGrid w:val="0"/>
                <w:color w:val="000000"/>
                <w:vertAlign w:val="superscript"/>
              </w:rPr>
            </w:pPr>
            <w:r>
              <w:rPr>
                <w:b/>
                <w:snapToGrid w:val="0"/>
                <w:color w:val="000000"/>
              </w:rPr>
              <w:t>fél</w:t>
            </w:r>
            <w:r w:rsidRPr="004853DC">
              <w:rPr>
                <w:b/>
                <w:snapToGrid w:val="0"/>
                <w:color w:val="000000"/>
              </w:rPr>
              <w:t>év</w:t>
            </w:r>
          </w:p>
        </w:tc>
        <w:tc>
          <w:tcPr>
            <w:tcW w:w="851" w:type="dxa"/>
            <w:shd w:val="pct15" w:color="000000" w:fill="FFFFFF"/>
            <w:vAlign w:val="center"/>
          </w:tcPr>
          <w:p w:rsidR="00CC3886" w:rsidRPr="004853DC" w:rsidRDefault="00CC3886" w:rsidP="000602CA">
            <w:pPr>
              <w:jc w:val="center"/>
              <w:rPr>
                <w:b/>
                <w:snapToGrid w:val="0"/>
                <w:color w:val="000000"/>
              </w:rPr>
            </w:pPr>
            <w:r>
              <w:rPr>
                <w:b/>
                <w:snapToGrid w:val="0"/>
                <w:color w:val="000000"/>
              </w:rPr>
              <w:t>1.</w:t>
            </w:r>
          </w:p>
        </w:tc>
        <w:tc>
          <w:tcPr>
            <w:tcW w:w="851" w:type="dxa"/>
            <w:shd w:val="pct15" w:color="000000" w:fill="FFFFFF"/>
            <w:vAlign w:val="center"/>
          </w:tcPr>
          <w:p w:rsidR="00CC3886" w:rsidRPr="004853DC" w:rsidRDefault="00CC3886" w:rsidP="000602CA">
            <w:pPr>
              <w:jc w:val="center"/>
              <w:rPr>
                <w:b/>
                <w:snapToGrid w:val="0"/>
                <w:color w:val="000000"/>
              </w:rPr>
            </w:pPr>
            <w:r>
              <w:rPr>
                <w:b/>
                <w:snapToGrid w:val="0"/>
                <w:color w:val="000000"/>
              </w:rPr>
              <w:t>2</w:t>
            </w:r>
            <w:r w:rsidRPr="004853DC">
              <w:rPr>
                <w:b/>
                <w:snapToGrid w:val="0"/>
                <w:color w:val="000000"/>
              </w:rPr>
              <w:t>.</w:t>
            </w:r>
          </w:p>
        </w:tc>
        <w:tc>
          <w:tcPr>
            <w:tcW w:w="850" w:type="dxa"/>
            <w:shd w:val="pct15" w:color="000000" w:fill="FFFFFF"/>
            <w:vAlign w:val="center"/>
          </w:tcPr>
          <w:p w:rsidR="00CC3886" w:rsidRPr="004853DC" w:rsidRDefault="00CC3886" w:rsidP="000602CA">
            <w:pPr>
              <w:jc w:val="center"/>
              <w:rPr>
                <w:b/>
                <w:snapToGrid w:val="0"/>
                <w:color w:val="000000"/>
              </w:rPr>
            </w:pPr>
            <w:r>
              <w:rPr>
                <w:b/>
                <w:snapToGrid w:val="0"/>
                <w:color w:val="000000"/>
              </w:rPr>
              <w:t>3.</w:t>
            </w:r>
          </w:p>
        </w:tc>
        <w:tc>
          <w:tcPr>
            <w:tcW w:w="850" w:type="dxa"/>
            <w:shd w:val="pct15" w:color="000000" w:fill="FFFFFF"/>
            <w:vAlign w:val="center"/>
          </w:tcPr>
          <w:p w:rsidR="00CC3886" w:rsidRPr="004853DC" w:rsidRDefault="00CC3886" w:rsidP="000602CA">
            <w:pPr>
              <w:jc w:val="center"/>
              <w:rPr>
                <w:b/>
                <w:snapToGrid w:val="0"/>
                <w:color w:val="000000"/>
              </w:rPr>
            </w:pPr>
            <w:r>
              <w:rPr>
                <w:b/>
                <w:snapToGrid w:val="0"/>
                <w:color w:val="000000"/>
              </w:rPr>
              <w:t>4</w:t>
            </w:r>
            <w:r w:rsidRPr="004853DC">
              <w:rPr>
                <w:b/>
                <w:snapToGrid w:val="0"/>
                <w:color w:val="000000"/>
              </w:rPr>
              <w:t>.</w:t>
            </w:r>
          </w:p>
        </w:tc>
      </w:tr>
      <w:tr w:rsidR="005D38CC" w:rsidTr="00F51230">
        <w:trPr>
          <w:trHeight w:val="360"/>
          <w:jc w:val="center"/>
        </w:trPr>
        <w:tc>
          <w:tcPr>
            <w:tcW w:w="3827" w:type="dxa"/>
            <w:vAlign w:val="center"/>
          </w:tcPr>
          <w:p w:rsidR="005D38CC" w:rsidRPr="00FD778B" w:rsidRDefault="005D38CC" w:rsidP="000602CA">
            <w:pPr>
              <w:jc w:val="center"/>
              <w:rPr>
                <w:b/>
                <w:snapToGrid w:val="0"/>
                <w:color w:val="000000"/>
              </w:rPr>
            </w:pPr>
            <w:r w:rsidRPr="00FD778B">
              <w:rPr>
                <w:b/>
                <w:snapToGrid w:val="0"/>
                <w:color w:val="000000"/>
              </w:rPr>
              <w:t>teljesített átlagos kredit</w:t>
            </w:r>
          </w:p>
        </w:tc>
        <w:tc>
          <w:tcPr>
            <w:tcW w:w="851" w:type="dxa"/>
            <w:shd w:val="solid" w:color="FFFFFF" w:fill="auto"/>
          </w:tcPr>
          <w:p w:rsidR="005D38CC" w:rsidRPr="005D38CC" w:rsidRDefault="005D38CC" w:rsidP="005D38CC">
            <w:pPr>
              <w:jc w:val="center"/>
              <w:rPr>
                <w:b/>
              </w:rPr>
            </w:pPr>
            <w:r w:rsidRPr="005D38CC">
              <w:rPr>
                <w:b/>
              </w:rPr>
              <w:t>29</w:t>
            </w:r>
          </w:p>
        </w:tc>
        <w:tc>
          <w:tcPr>
            <w:tcW w:w="851" w:type="dxa"/>
            <w:shd w:val="solid" w:color="FFFFFF" w:fill="auto"/>
          </w:tcPr>
          <w:p w:rsidR="005D38CC" w:rsidRPr="005D38CC" w:rsidRDefault="005D38CC" w:rsidP="005D38CC">
            <w:pPr>
              <w:jc w:val="center"/>
              <w:rPr>
                <w:b/>
              </w:rPr>
            </w:pPr>
            <w:r w:rsidRPr="005D38CC">
              <w:rPr>
                <w:b/>
              </w:rPr>
              <w:t>79</w:t>
            </w:r>
          </w:p>
        </w:tc>
        <w:tc>
          <w:tcPr>
            <w:tcW w:w="850" w:type="dxa"/>
            <w:shd w:val="solid" w:color="FFFFFF" w:fill="auto"/>
          </w:tcPr>
          <w:p w:rsidR="005D38CC" w:rsidRPr="005D38CC" w:rsidRDefault="005D38CC" w:rsidP="005D38CC">
            <w:pPr>
              <w:jc w:val="center"/>
              <w:rPr>
                <w:b/>
              </w:rPr>
            </w:pPr>
            <w:r w:rsidRPr="005D38CC">
              <w:rPr>
                <w:b/>
              </w:rPr>
              <w:t>102</w:t>
            </w:r>
          </w:p>
        </w:tc>
        <w:tc>
          <w:tcPr>
            <w:tcW w:w="850" w:type="dxa"/>
            <w:shd w:val="solid" w:color="FFFFFF" w:fill="auto"/>
          </w:tcPr>
          <w:p w:rsidR="005D38CC" w:rsidRPr="005D38CC" w:rsidRDefault="005D38CC" w:rsidP="005D38CC">
            <w:pPr>
              <w:jc w:val="center"/>
              <w:rPr>
                <w:b/>
              </w:rPr>
            </w:pPr>
            <w:r w:rsidRPr="005D38CC">
              <w:rPr>
                <w:b/>
              </w:rPr>
              <w:t>119</w:t>
            </w:r>
          </w:p>
        </w:tc>
      </w:tr>
      <w:tr w:rsidR="005D38CC" w:rsidTr="00AB6445">
        <w:trPr>
          <w:trHeight w:val="360"/>
          <w:jc w:val="center"/>
        </w:trPr>
        <w:tc>
          <w:tcPr>
            <w:tcW w:w="3827" w:type="dxa"/>
            <w:vAlign w:val="center"/>
          </w:tcPr>
          <w:p w:rsidR="005D38CC" w:rsidRPr="00FD778B" w:rsidRDefault="005D38CC" w:rsidP="000602CA">
            <w:pPr>
              <w:jc w:val="center"/>
              <w:rPr>
                <w:b/>
                <w:snapToGrid w:val="0"/>
                <w:color w:val="000000"/>
              </w:rPr>
            </w:pPr>
            <w:r w:rsidRPr="00FD778B">
              <w:rPr>
                <w:b/>
                <w:snapToGrid w:val="0"/>
                <w:color w:val="000000"/>
              </w:rPr>
              <w:t>elvárható kredit</w:t>
            </w:r>
          </w:p>
        </w:tc>
        <w:tc>
          <w:tcPr>
            <w:tcW w:w="851" w:type="dxa"/>
            <w:shd w:val="solid" w:color="FFFFFF" w:fill="auto"/>
          </w:tcPr>
          <w:p w:rsidR="005D38CC" w:rsidRPr="00DA1B6C" w:rsidRDefault="005D38CC" w:rsidP="005D38CC">
            <w:pPr>
              <w:jc w:val="center"/>
            </w:pPr>
            <w:r w:rsidRPr="00DA1B6C">
              <w:t>30</w:t>
            </w:r>
          </w:p>
        </w:tc>
        <w:tc>
          <w:tcPr>
            <w:tcW w:w="851" w:type="dxa"/>
            <w:shd w:val="solid" w:color="FFFFFF" w:fill="auto"/>
          </w:tcPr>
          <w:p w:rsidR="005D38CC" w:rsidRPr="00DA1B6C" w:rsidRDefault="005D38CC" w:rsidP="005D38CC">
            <w:pPr>
              <w:jc w:val="center"/>
            </w:pPr>
            <w:r w:rsidRPr="00DA1B6C">
              <w:t>61</w:t>
            </w:r>
          </w:p>
        </w:tc>
        <w:tc>
          <w:tcPr>
            <w:tcW w:w="850" w:type="dxa"/>
            <w:shd w:val="solid" w:color="FFFFFF" w:fill="auto"/>
          </w:tcPr>
          <w:p w:rsidR="005D38CC" w:rsidRPr="00DA1B6C" w:rsidRDefault="005D38CC" w:rsidP="005D38CC">
            <w:pPr>
              <w:jc w:val="center"/>
            </w:pPr>
            <w:r w:rsidRPr="00DA1B6C">
              <w:t>90</w:t>
            </w:r>
          </w:p>
        </w:tc>
        <w:tc>
          <w:tcPr>
            <w:tcW w:w="850" w:type="dxa"/>
            <w:shd w:val="solid" w:color="FFFFFF" w:fill="auto"/>
          </w:tcPr>
          <w:p w:rsidR="005D38CC" w:rsidRPr="00DA1B6C" w:rsidRDefault="005D38CC" w:rsidP="005D38CC">
            <w:pPr>
              <w:jc w:val="center"/>
            </w:pPr>
            <w:r w:rsidRPr="00DA1B6C">
              <w:t>120</w:t>
            </w:r>
          </w:p>
        </w:tc>
      </w:tr>
      <w:tr w:rsidR="005D38CC" w:rsidRPr="00211A91" w:rsidTr="00AB6445">
        <w:trPr>
          <w:trHeight w:val="360"/>
          <w:jc w:val="center"/>
        </w:trPr>
        <w:tc>
          <w:tcPr>
            <w:tcW w:w="3827" w:type="dxa"/>
            <w:vAlign w:val="center"/>
          </w:tcPr>
          <w:p w:rsidR="005D38CC" w:rsidRPr="00FD778B" w:rsidRDefault="005D38CC" w:rsidP="00754C0F">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5D38CC" w:rsidRPr="005D38CC" w:rsidRDefault="005D38CC" w:rsidP="005D38CC">
            <w:pPr>
              <w:jc w:val="center"/>
              <w:rPr>
                <w:b/>
                <w:color w:val="FF0000"/>
              </w:rPr>
            </w:pPr>
            <w:r w:rsidRPr="005D38CC">
              <w:rPr>
                <w:b/>
                <w:color w:val="FF0000"/>
              </w:rPr>
              <w:t>-1</w:t>
            </w:r>
          </w:p>
        </w:tc>
        <w:tc>
          <w:tcPr>
            <w:tcW w:w="851" w:type="dxa"/>
            <w:shd w:val="solid" w:color="FFFFFF" w:fill="auto"/>
          </w:tcPr>
          <w:p w:rsidR="005D38CC" w:rsidRPr="005D38CC" w:rsidRDefault="005D38CC" w:rsidP="005D38CC">
            <w:pPr>
              <w:jc w:val="center"/>
              <w:rPr>
                <w:b/>
                <w:color w:val="FF0000"/>
              </w:rPr>
            </w:pPr>
            <w:r w:rsidRPr="005D38CC">
              <w:rPr>
                <w:b/>
                <w:color w:val="FF0000"/>
              </w:rPr>
              <w:t>18</w:t>
            </w:r>
          </w:p>
        </w:tc>
        <w:tc>
          <w:tcPr>
            <w:tcW w:w="850" w:type="dxa"/>
            <w:shd w:val="solid" w:color="FFFFFF" w:fill="auto"/>
          </w:tcPr>
          <w:p w:rsidR="005D38CC" w:rsidRPr="005D38CC" w:rsidRDefault="005D38CC" w:rsidP="005D38CC">
            <w:pPr>
              <w:jc w:val="center"/>
              <w:rPr>
                <w:b/>
                <w:color w:val="FF0000"/>
              </w:rPr>
            </w:pPr>
            <w:r w:rsidRPr="005D38CC">
              <w:rPr>
                <w:b/>
                <w:color w:val="FF0000"/>
              </w:rPr>
              <w:t>12</w:t>
            </w:r>
          </w:p>
        </w:tc>
        <w:tc>
          <w:tcPr>
            <w:tcW w:w="850" w:type="dxa"/>
            <w:shd w:val="solid" w:color="FFFFFF" w:fill="auto"/>
          </w:tcPr>
          <w:p w:rsidR="005D38CC" w:rsidRPr="005D38CC" w:rsidRDefault="005D38CC" w:rsidP="005D38CC">
            <w:pPr>
              <w:jc w:val="center"/>
              <w:rPr>
                <w:b/>
                <w:color w:val="FF0000"/>
              </w:rPr>
            </w:pPr>
            <w:r w:rsidRPr="005D38CC">
              <w:rPr>
                <w:b/>
                <w:color w:val="FF0000"/>
              </w:rPr>
              <w:t>-1</w:t>
            </w:r>
          </w:p>
        </w:tc>
      </w:tr>
    </w:tbl>
    <w:p w:rsidR="003A5E47" w:rsidRPr="00CC2B40" w:rsidRDefault="003A5E47" w:rsidP="003A5E47">
      <w:pPr>
        <w:spacing w:before="120" w:after="120" w:line="360" w:lineRule="auto"/>
        <w:ind w:firstLine="539"/>
      </w:pPr>
    </w:p>
    <w:p w:rsidR="00C7626B" w:rsidRPr="001672C4" w:rsidRDefault="00243A0D" w:rsidP="0092496E">
      <w:pPr>
        <w:pStyle w:val="Cmsor1"/>
        <w:spacing w:before="360" w:after="360"/>
        <w:jc w:val="center"/>
        <w:rPr>
          <w:sz w:val="28"/>
          <w:szCs w:val="28"/>
        </w:rPr>
      </w:pPr>
      <w:r>
        <w:br w:type="page"/>
      </w:r>
      <w:bookmarkStart w:id="9" w:name="_Toc289601771"/>
      <w:r w:rsidR="00C7626B" w:rsidRPr="00AB1613">
        <w:rPr>
          <w:sz w:val="28"/>
          <w:szCs w:val="28"/>
        </w:rPr>
        <w:lastRenderedPageBreak/>
        <w:t>Tantárgyi teljesítések</w:t>
      </w:r>
      <w:bookmarkEnd w:id="9"/>
    </w:p>
    <w:p w:rsidR="00C7626B" w:rsidRDefault="00517CF1" w:rsidP="00517CF1">
      <w:pPr>
        <w:jc w:val="center"/>
        <w:rPr>
          <w:b/>
        </w:rPr>
      </w:pPr>
      <w:r w:rsidRPr="00517CF1">
        <w:rPr>
          <w:b/>
        </w:rPr>
        <w:t>3. táblázat: Osztályzatok megoszlása és tantárgyak teljesítése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1929"/>
        <w:gridCol w:w="1813"/>
        <w:gridCol w:w="884"/>
        <w:gridCol w:w="567"/>
        <w:gridCol w:w="567"/>
        <w:gridCol w:w="567"/>
        <w:gridCol w:w="567"/>
        <w:gridCol w:w="567"/>
        <w:gridCol w:w="567"/>
        <w:gridCol w:w="709"/>
      </w:tblGrid>
      <w:tr w:rsidR="008F1114" w:rsidTr="008F1114">
        <w:trPr>
          <w:trHeight w:val="315"/>
        </w:trPr>
        <w:tc>
          <w:tcPr>
            <w:tcW w:w="978" w:type="dxa"/>
            <w:vMerge w:val="restart"/>
            <w:vAlign w:val="center"/>
          </w:tcPr>
          <w:p w:rsidR="008F1114" w:rsidRPr="008F1114" w:rsidRDefault="008F1114" w:rsidP="008F1114">
            <w:pPr>
              <w:jc w:val="center"/>
              <w:rPr>
                <w:rFonts w:asciiTheme="minorHAnsi" w:hAnsiTheme="minorHAnsi" w:cstheme="minorHAnsi"/>
                <w:b/>
                <w:sz w:val="22"/>
                <w:szCs w:val="22"/>
              </w:rPr>
            </w:pPr>
            <w:r w:rsidRPr="008F1114">
              <w:rPr>
                <w:rFonts w:asciiTheme="minorHAnsi" w:hAnsiTheme="minorHAnsi" w:cstheme="minorHAnsi"/>
                <w:b/>
                <w:sz w:val="22"/>
                <w:szCs w:val="22"/>
              </w:rPr>
              <w:t>MT félév</w:t>
            </w:r>
          </w:p>
        </w:tc>
        <w:tc>
          <w:tcPr>
            <w:tcW w:w="1929" w:type="dxa"/>
            <w:vMerge w:val="restart"/>
            <w:vAlign w:val="center"/>
          </w:tcPr>
          <w:p w:rsidR="008F1114" w:rsidRPr="008F1114" w:rsidRDefault="008F1114" w:rsidP="008F1114">
            <w:pPr>
              <w:jc w:val="center"/>
              <w:rPr>
                <w:rFonts w:asciiTheme="minorHAnsi" w:hAnsiTheme="minorHAnsi" w:cstheme="minorHAnsi"/>
                <w:b/>
                <w:sz w:val="22"/>
                <w:szCs w:val="22"/>
              </w:rPr>
            </w:pPr>
            <w:r w:rsidRPr="008F1114">
              <w:rPr>
                <w:rFonts w:asciiTheme="minorHAnsi" w:hAnsiTheme="minorHAnsi" w:cstheme="minorHAnsi"/>
                <w:b/>
                <w:sz w:val="22"/>
                <w:szCs w:val="22"/>
              </w:rPr>
              <w:t>Tárgynév</w:t>
            </w:r>
          </w:p>
        </w:tc>
        <w:tc>
          <w:tcPr>
            <w:tcW w:w="1813" w:type="dxa"/>
            <w:vMerge w:val="restart"/>
            <w:vAlign w:val="center"/>
          </w:tcPr>
          <w:p w:rsidR="008F1114" w:rsidRPr="008F1114" w:rsidRDefault="008F1114" w:rsidP="008F1114">
            <w:pPr>
              <w:jc w:val="center"/>
              <w:rPr>
                <w:rFonts w:asciiTheme="minorHAnsi" w:hAnsiTheme="minorHAnsi" w:cstheme="minorHAnsi"/>
                <w:b/>
                <w:sz w:val="22"/>
                <w:szCs w:val="22"/>
              </w:rPr>
            </w:pPr>
            <w:r w:rsidRPr="008F1114">
              <w:rPr>
                <w:rFonts w:asciiTheme="minorHAnsi" w:hAnsiTheme="minorHAnsi" w:cstheme="minorHAnsi"/>
                <w:b/>
                <w:sz w:val="22"/>
                <w:szCs w:val="22"/>
              </w:rPr>
              <w:t>Tárgy kód</w:t>
            </w:r>
          </w:p>
        </w:tc>
        <w:tc>
          <w:tcPr>
            <w:tcW w:w="666" w:type="dxa"/>
            <w:vMerge w:val="restart"/>
            <w:vAlign w:val="center"/>
          </w:tcPr>
          <w:p w:rsidR="008F1114" w:rsidRPr="008F1114" w:rsidRDefault="008F1114" w:rsidP="008F1114">
            <w:pPr>
              <w:jc w:val="center"/>
              <w:rPr>
                <w:rFonts w:asciiTheme="minorHAnsi" w:hAnsiTheme="minorHAnsi" w:cstheme="minorHAnsi"/>
                <w:b/>
                <w:sz w:val="22"/>
                <w:szCs w:val="22"/>
              </w:rPr>
            </w:pPr>
            <w:r w:rsidRPr="008F1114">
              <w:rPr>
                <w:rFonts w:asciiTheme="minorHAnsi" w:hAnsiTheme="minorHAnsi" w:cstheme="minorHAnsi"/>
                <w:b/>
                <w:sz w:val="22"/>
                <w:szCs w:val="22"/>
              </w:rPr>
              <w:t>Felvette fő</w:t>
            </w:r>
          </w:p>
        </w:tc>
        <w:tc>
          <w:tcPr>
            <w:tcW w:w="2835" w:type="dxa"/>
            <w:gridSpan w:val="5"/>
            <w:shd w:val="clear" w:color="auto" w:fill="auto"/>
            <w:noWrap/>
            <w:vAlign w:val="center"/>
          </w:tcPr>
          <w:p w:rsidR="008F1114" w:rsidRPr="008F1114" w:rsidRDefault="008F1114" w:rsidP="008F1114">
            <w:pPr>
              <w:jc w:val="center"/>
              <w:rPr>
                <w:rFonts w:ascii="Arial" w:hAnsi="Arial" w:cs="Arial"/>
                <w:b/>
                <w:color w:val="000000"/>
                <w:sz w:val="16"/>
                <w:szCs w:val="16"/>
              </w:rPr>
            </w:pPr>
            <w:r w:rsidRPr="008F1114">
              <w:rPr>
                <w:rFonts w:ascii="Arial" w:hAnsi="Arial" w:cs="Arial"/>
                <w:b/>
                <w:color w:val="000000"/>
                <w:sz w:val="16"/>
                <w:szCs w:val="16"/>
              </w:rPr>
              <w:t>Osztályzatok megoszlása</w:t>
            </w:r>
          </w:p>
        </w:tc>
        <w:tc>
          <w:tcPr>
            <w:tcW w:w="567" w:type="dxa"/>
            <w:vMerge w:val="restart"/>
            <w:vAlign w:val="center"/>
          </w:tcPr>
          <w:p w:rsidR="008F1114" w:rsidRPr="008F1114" w:rsidRDefault="008F1114" w:rsidP="008F1114">
            <w:pPr>
              <w:jc w:val="center"/>
              <w:rPr>
                <w:rFonts w:ascii="Arial" w:hAnsi="Arial" w:cs="Arial"/>
                <w:b/>
                <w:bCs/>
                <w:color w:val="000000"/>
                <w:sz w:val="16"/>
                <w:szCs w:val="16"/>
              </w:rPr>
            </w:pPr>
            <w:r w:rsidRPr="008F1114">
              <w:rPr>
                <w:rFonts w:ascii="Arial" w:hAnsi="Arial" w:cs="Arial"/>
                <w:b/>
                <w:bCs/>
                <w:color w:val="000000"/>
                <w:sz w:val="16"/>
                <w:szCs w:val="16"/>
              </w:rPr>
              <w:t>Telj. átl.</w:t>
            </w:r>
          </w:p>
        </w:tc>
        <w:tc>
          <w:tcPr>
            <w:tcW w:w="709" w:type="dxa"/>
            <w:vMerge w:val="restart"/>
            <w:vAlign w:val="center"/>
          </w:tcPr>
          <w:p w:rsidR="008F1114" w:rsidRPr="008F1114" w:rsidRDefault="008F1114" w:rsidP="008F1114">
            <w:pPr>
              <w:jc w:val="center"/>
              <w:rPr>
                <w:rFonts w:ascii="Arial" w:hAnsi="Arial" w:cs="Arial"/>
                <w:b/>
                <w:bCs/>
                <w:color w:val="000000"/>
                <w:sz w:val="16"/>
                <w:szCs w:val="16"/>
              </w:rPr>
            </w:pPr>
            <w:r w:rsidRPr="008F1114">
              <w:rPr>
                <w:rFonts w:ascii="Arial" w:hAnsi="Arial" w:cs="Arial"/>
                <w:b/>
                <w:bCs/>
                <w:color w:val="000000"/>
                <w:sz w:val="16"/>
                <w:szCs w:val="16"/>
              </w:rPr>
              <w:t>Telj. %</w:t>
            </w:r>
          </w:p>
        </w:tc>
      </w:tr>
      <w:tr w:rsidR="009C74B1" w:rsidTr="008F1114">
        <w:trPr>
          <w:trHeight w:val="315"/>
        </w:trPr>
        <w:tc>
          <w:tcPr>
            <w:tcW w:w="978" w:type="dxa"/>
            <w:vMerge/>
            <w:vAlign w:val="center"/>
            <w:hideMark/>
          </w:tcPr>
          <w:p w:rsidR="009C74B1" w:rsidRDefault="009C74B1" w:rsidP="008F1114">
            <w:pPr>
              <w:jc w:val="center"/>
              <w:rPr>
                <w:rFonts w:ascii="Arial" w:hAnsi="Arial" w:cs="Arial"/>
                <w:b/>
                <w:bCs/>
                <w:color w:val="000000"/>
                <w:sz w:val="16"/>
                <w:szCs w:val="16"/>
              </w:rPr>
            </w:pPr>
          </w:p>
        </w:tc>
        <w:tc>
          <w:tcPr>
            <w:tcW w:w="1929" w:type="dxa"/>
            <w:vMerge/>
            <w:vAlign w:val="center"/>
            <w:hideMark/>
          </w:tcPr>
          <w:p w:rsidR="009C74B1" w:rsidRDefault="009C74B1" w:rsidP="008F1114">
            <w:pPr>
              <w:jc w:val="center"/>
              <w:rPr>
                <w:rFonts w:ascii="Arial" w:hAnsi="Arial" w:cs="Arial"/>
                <w:b/>
                <w:bCs/>
                <w:color w:val="000000"/>
                <w:sz w:val="16"/>
                <w:szCs w:val="16"/>
              </w:rPr>
            </w:pPr>
          </w:p>
        </w:tc>
        <w:tc>
          <w:tcPr>
            <w:tcW w:w="1813" w:type="dxa"/>
            <w:vMerge/>
            <w:vAlign w:val="center"/>
            <w:hideMark/>
          </w:tcPr>
          <w:p w:rsidR="009C74B1" w:rsidRDefault="009C74B1" w:rsidP="008F1114">
            <w:pPr>
              <w:jc w:val="center"/>
              <w:rPr>
                <w:rFonts w:ascii="Arial" w:hAnsi="Arial" w:cs="Arial"/>
                <w:b/>
                <w:bCs/>
                <w:color w:val="000000"/>
                <w:sz w:val="16"/>
                <w:szCs w:val="16"/>
              </w:rPr>
            </w:pPr>
          </w:p>
        </w:tc>
        <w:tc>
          <w:tcPr>
            <w:tcW w:w="666" w:type="dxa"/>
            <w:vMerge/>
            <w:vAlign w:val="center"/>
            <w:hideMark/>
          </w:tcPr>
          <w:p w:rsidR="009C74B1" w:rsidRDefault="009C74B1" w:rsidP="008F1114">
            <w:pPr>
              <w:jc w:val="center"/>
              <w:rPr>
                <w:rFonts w:ascii="Arial" w:hAnsi="Arial" w:cs="Arial"/>
                <w:b/>
                <w:bCs/>
                <w:color w:val="000000"/>
                <w:sz w:val="16"/>
                <w:szCs w:val="16"/>
              </w:rPr>
            </w:pPr>
          </w:p>
        </w:tc>
        <w:tc>
          <w:tcPr>
            <w:tcW w:w="567" w:type="dxa"/>
            <w:shd w:val="clear" w:color="auto" w:fill="auto"/>
            <w:noWrap/>
            <w:vAlign w:val="center"/>
            <w:hideMark/>
          </w:tcPr>
          <w:p w:rsidR="009C74B1" w:rsidRDefault="009C74B1" w:rsidP="008F1114">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noWrap/>
            <w:vAlign w:val="center"/>
            <w:hideMark/>
          </w:tcPr>
          <w:p w:rsidR="009C74B1" w:rsidRDefault="009C74B1" w:rsidP="008F1114">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noWrap/>
            <w:vAlign w:val="center"/>
            <w:hideMark/>
          </w:tcPr>
          <w:p w:rsidR="009C74B1" w:rsidRDefault="009C74B1" w:rsidP="008F1114">
            <w:pPr>
              <w:jc w:val="center"/>
              <w:rPr>
                <w:rFonts w:ascii="Arial" w:hAnsi="Arial" w:cs="Arial"/>
                <w:color w:val="000000"/>
                <w:sz w:val="16"/>
                <w:szCs w:val="16"/>
              </w:rPr>
            </w:pPr>
            <w:r>
              <w:rPr>
                <w:rFonts w:ascii="Arial" w:hAnsi="Arial" w:cs="Arial"/>
                <w:color w:val="000000"/>
                <w:sz w:val="16"/>
                <w:szCs w:val="16"/>
              </w:rPr>
              <w:t>3</w:t>
            </w:r>
          </w:p>
        </w:tc>
        <w:tc>
          <w:tcPr>
            <w:tcW w:w="567" w:type="dxa"/>
            <w:shd w:val="clear" w:color="auto" w:fill="auto"/>
            <w:noWrap/>
            <w:vAlign w:val="center"/>
            <w:hideMark/>
          </w:tcPr>
          <w:p w:rsidR="009C74B1" w:rsidRDefault="009C74B1" w:rsidP="008F1114">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noWrap/>
            <w:vAlign w:val="center"/>
            <w:hideMark/>
          </w:tcPr>
          <w:p w:rsidR="009C74B1" w:rsidRDefault="009C74B1" w:rsidP="008F1114">
            <w:pPr>
              <w:jc w:val="center"/>
              <w:rPr>
                <w:rFonts w:ascii="Arial" w:hAnsi="Arial" w:cs="Arial"/>
                <w:color w:val="000000"/>
                <w:sz w:val="16"/>
                <w:szCs w:val="16"/>
              </w:rPr>
            </w:pPr>
            <w:r>
              <w:rPr>
                <w:rFonts w:ascii="Arial" w:hAnsi="Arial" w:cs="Arial"/>
                <w:color w:val="000000"/>
                <w:sz w:val="16"/>
                <w:szCs w:val="16"/>
              </w:rPr>
              <w:t>5</w:t>
            </w:r>
          </w:p>
        </w:tc>
        <w:tc>
          <w:tcPr>
            <w:tcW w:w="567" w:type="dxa"/>
            <w:vMerge/>
            <w:vAlign w:val="center"/>
            <w:hideMark/>
          </w:tcPr>
          <w:p w:rsidR="009C74B1" w:rsidRDefault="009C74B1" w:rsidP="008F1114">
            <w:pPr>
              <w:jc w:val="center"/>
              <w:rPr>
                <w:rFonts w:ascii="Arial" w:hAnsi="Arial" w:cs="Arial"/>
                <w:b/>
                <w:bCs/>
                <w:color w:val="000000"/>
                <w:sz w:val="16"/>
                <w:szCs w:val="16"/>
              </w:rPr>
            </w:pPr>
          </w:p>
        </w:tc>
        <w:tc>
          <w:tcPr>
            <w:tcW w:w="709" w:type="dxa"/>
            <w:vMerge/>
            <w:vAlign w:val="center"/>
            <w:hideMark/>
          </w:tcPr>
          <w:p w:rsidR="009C74B1" w:rsidRDefault="009C74B1" w:rsidP="008F1114">
            <w:pPr>
              <w:jc w:val="center"/>
              <w:rPr>
                <w:rFonts w:ascii="Arial" w:hAnsi="Arial" w:cs="Arial"/>
                <w:b/>
                <w:bCs/>
                <w:color w:val="000000"/>
                <w:sz w:val="16"/>
                <w:szCs w:val="16"/>
              </w:rPr>
            </w:pP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Kemometria és jelfeldolgozás</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VEMKAV4143K</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Geokémia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VEMKFTM143G</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33</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Numerikus matematika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VEMKMA1144C</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Modern szerves kémiai szintézismódszerek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VEMKOKM112M</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Korszerű szintetikus és elválasztási módszerek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VEMKOKM134K</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Elméleti szervetlen kémia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VEMKAKM112E</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Koordinációs kémia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VEMKAKM212V</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Fizika III.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VEMKFIM112F</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Fizika III. szeminárium</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VEMKFIM122F</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Fizikai kémia III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VEMKFKM112A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Fizikai kémia III gyakorlat</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VEMKFKM122A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Felületanalitikai módszerek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VEMKKAM112F</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Molekuláris biológia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VEMKLIB312M</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25</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Szerves kémia IV</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VEMKOKM112N</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Szerves kémia szigorlat</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VEMKOKM1X0S</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25</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67%</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Integrált kémiai laboratóriumi gyakorlatok vegyészeknek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VEMKOKM23xL</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Fizikai kémia szigorlat</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VEMKFKM2X0F</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Korszerű környezetanalitikai módszerek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VEMKKAM155K</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20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Választható analitikai laboratóriumi gyakorlat</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VEMKKAM432A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9</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9</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Diplomamunka 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VEMKOKM13XD</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Szerves vegyületek szerkezet-meghatározása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VEMKOKM522V</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75</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lastRenderedPageBreak/>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Biokoordinációs kémia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VEMKOKB212B (VEMKOKM212B?)</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13</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Koordinációs kémia laborgyakorlat</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VEMKAKM132V</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Kvantumkémia 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VEMKAKM144K</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20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91%</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Diplomamunka II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VEMKOKM23XD</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7</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7</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Sugaras és nukleáris balesetek, tapasztalatok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VEMKRKR222S</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ált.műv.</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Grafológia 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VEMKOK5112G</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műszaki műv.</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Tudományos Diákköri Tevékenység 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VEMKTDK332A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Fémorganikus kémia 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VEMKAKV212F</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Gyógyszerkémia és szintézistervezés</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VEMKOT4244A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Biomérnöki műveletek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VEMKBMB344B</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33</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Rekombináns DNS technológia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VEMIMUKI153D</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Anyagtudomány</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VEMKSIB113A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83</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Gyógyszeranalitika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VEMKKAM112G</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Magkémia és izotóptechnika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VEMKRKM412M</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13</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Molekuláris szimulációk</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VEMKFKV112S</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8</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Oldatkinetika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VEMKAKM112O</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7</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r w:rsidR="008F1114">
              <w:rPr>
                <w:rFonts w:ascii="Calibri" w:hAnsi="Calibri" w:cs="Calibri"/>
                <w:color w:val="000000"/>
                <w:sz w:val="22"/>
                <w:szCs w:val="22"/>
              </w:rPr>
              <w:t>,</w:t>
            </w:r>
            <w:r>
              <w:rPr>
                <w:rFonts w:ascii="Calibri" w:hAnsi="Calibri" w:cs="Calibri"/>
                <w:color w:val="000000"/>
                <w:sz w:val="22"/>
                <w:szCs w:val="22"/>
              </w:rPr>
              <w:t>86</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Bionanotechnológia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VEMINAM112B</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6</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50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Kvantumkémia II.</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VEMKAKM244K</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67</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Szilárdtest fizika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VEMKFI2212A</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Heteromagok NMR spektroszkópiája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VEMKSI4312H</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3</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4</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r w:rsidR="009C74B1" w:rsidTr="008F1114">
        <w:trPr>
          <w:trHeight w:val="300"/>
        </w:trPr>
        <w:tc>
          <w:tcPr>
            <w:tcW w:w="978"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vál. szaktárgy</w:t>
            </w:r>
          </w:p>
        </w:tc>
        <w:tc>
          <w:tcPr>
            <w:tcW w:w="192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Mikroszkópia</w:t>
            </w:r>
          </w:p>
        </w:tc>
        <w:tc>
          <w:tcPr>
            <w:tcW w:w="1813"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VEMKSIB153M</w:t>
            </w:r>
          </w:p>
        </w:tc>
        <w:tc>
          <w:tcPr>
            <w:tcW w:w="666"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0</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5</w:t>
            </w:r>
            <w:r w:rsidR="008F1114">
              <w:rPr>
                <w:rFonts w:ascii="Calibri" w:hAnsi="Calibri" w:cs="Calibri"/>
                <w:color w:val="000000"/>
                <w:sz w:val="22"/>
                <w:szCs w:val="22"/>
              </w:rPr>
              <w:t>,</w:t>
            </w:r>
            <w:r>
              <w:rPr>
                <w:rFonts w:ascii="Calibri" w:hAnsi="Calibri" w:cs="Calibri"/>
                <w:color w:val="000000"/>
                <w:sz w:val="22"/>
                <w:szCs w:val="22"/>
              </w:rPr>
              <w:t>00</w:t>
            </w:r>
          </w:p>
        </w:tc>
        <w:tc>
          <w:tcPr>
            <w:tcW w:w="709" w:type="dxa"/>
            <w:shd w:val="clear" w:color="auto" w:fill="auto"/>
            <w:noWrap/>
            <w:vAlign w:val="center"/>
            <w:hideMark/>
          </w:tcPr>
          <w:p w:rsidR="009C74B1" w:rsidRDefault="009C74B1" w:rsidP="008F1114">
            <w:pPr>
              <w:jc w:val="center"/>
              <w:rPr>
                <w:rFonts w:ascii="Calibri" w:hAnsi="Calibri" w:cs="Calibri"/>
                <w:color w:val="000000"/>
                <w:sz w:val="22"/>
                <w:szCs w:val="22"/>
              </w:rPr>
            </w:pPr>
            <w:r>
              <w:rPr>
                <w:rFonts w:ascii="Calibri" w:hAnsi="Calibri" w:cs="Calibri"/>
                <w:color w:val="000000"/>
                <w:sz w:val="22"/>
                <w:szCs w:val="22"/>
              </w:rPr>
              <w:t>100%</w:t>
            </w:r>
          </w:p>
        </w:tc>
      </w:tr>
    </w:tbl>
    <w:p w:rsidR="003412EA" w:rsidRDefault="003412EA" w:rsidP="002758F2"/>
    <w:p w:rsidR="002758F2" w:rsidRDefault="00526020" w:rsidP="00012264">
      <w:r>
        <w:t>A csökkenő felvételi ponthatárral párhuzamosan csökkent a hallgatók kreditteljesítése és tantárgyteljesítése is</w:t>
      </w:r>
      <w:r w:rsidR="00980E09">
        <w:t>, majd ezek is beálltak közel állandó értékre.</w:t>
      </w:r>
      <w:bookmarkStart w:id="10" w:name="_Toc116285539"/>
      <w:bookmarkStart w:id="11" w:name="_Toc182141317"/>
      <w:bookmarkStart w:id="12" w:name="_Toc183255742"/>
    </w:p>
    <w:p w:rsidR="00012264" w:rsidRPr="00AB1613" w:rsidRDefault="00012264" w:rsidP="00012264">
      <w:pPr>
        <w:rPr>
          <w:sz w:val="28"/>
          <w:szCs w:val="28"/>
        </w:rPr>
      </w:pPr>
    </w:p>
    <w:p w:rsidR="005667FD" w:rsidRPr="001672C4" w:rsidRDefault="005667FD" w:rsidP="005667FD">
      <w:pPr>
        <w:pStyle w:val="Cmsor1"/>
        <w:numPr>
          <w:ilvl w:val="0"/>
          <w:numId w:val="6"/>
        </w:numPr>
        <w:spacing w:before="360" w:after="360"/>
        <w:jc w:val="center"/>
        <w:rPr>
          <w:sz w:val="28"/>
          <w:szCs w:val="28"/>
        </w:rPr>
      </w:pPr>
      <w:bookmarkStart w:id="13" w:name="_Toc289601772"/>
      <w:r w:rsidRPr="00AB1613">
        <w:rPr>
          <w:sz w:val="28"/>
          <w:szCs w:val="28"/>
        </w:rPr>
        <w:t>Záróvizsga értékelése</w:t>
      </w:r>
      <w:bookmarkEnd w:id="13"/>
    </w:p>
    <w:p w:rsidR="002758F2" w:rsidRDefault="002758F2" w:rsidP="002758F2">
      <w:pPr>
        <w:spacing w:before="120" w:after="120" w:line="360" w:lineRule="auto"/>
        <w:ind w:firstLine="539"/>
      </w:pPr>
    </w:p>
    <w:p w:rsidR="002758F2" w:rsidRPr="0054523E" w:rsidRDefault="000367BA" w:rsidP="002758F2">
      <w:pPr>
        <w:pStyle w:val="Kpalrs"/>
        <w:keepNext/>
        <w:jc w:val="center"/>
        <w:rPr>
          <w:sz w:val="24"/>
          <w:szCs w:val="24"/>
        </w:rPr>
      </w:pPr>
      <w:r>
        <w:rPr>
          <w:sz w:val="24"/>
          <w:szCs w:val="24"/>
        </w:rPr>
        <w:lastRenderedPageBreak/>
        <w:t>4</w:t>
      </w:r>
      <w:r w:rsidR="00B81A1B" w:rsidRPr="00D84EB7">
        <w:rPr>
          <w:sz w:val="24"/>
          <w:szCs w:val="24"/>
        </w:rPr>
        <w:t>. táblázat:</w:t>
      </w:r>
      <w:r w:rsidR="00B81A1B" w:rsidRPr="00D068B5">
        <w:rPr>
          <w:sz w:val="24"/>
          <w:szCs w:val="24"/>
        </w:rPr>
        <w:t xml:space="preserve"> </w:t>
      </w:r>
      <w:r w:rsidR="00816A6F">
        <w:rPr>
          <w:sz w:val="24"/>
          <w:szCs w:val="24"/>
        </w:rPr>
        <w:t xml:space="preserve">Záróvizsgák eredménye és oklevelek </w:t>
      </w:r>
      <w:r w:rsidR="002758F2" w:rsidRPr="00781A54">
        <w:rPr>
          <w:sz w:val="24"/>
          <w:szCs w:val="24"/>
        </w:rPr>
        <w:t>minősítés</w:t>
      </w:r>
      <w:r w:rsidR="00816A6F">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52"/>
        <w:gridCol w:w="719"/>
        <w:gridCol w:w="720"/>
        <w:gridCol w:w="719"/>
        <w:gridCol w:w="720"/>
        <w:gridCol w:w="720"/>
        <w:gridCol w:w="719"/>
        <w:gridCol w:w="720"/>
        <w:gridCol w:w="719"/>
        <w:gridCol w:w="720"/>
        <w:gridCol w:w="720"/>
      </w:tblGrid>
      <w:tr w:rsidR="002758F2" w:rsidRPr="001D4F0A">
        <w:tc>
          <w:tcPr>
            <w:tcW w:w="1008" w:type="dxa"/>
            <w:vMerge w:val="restart"/>
            <w:shd w:val="clear" w:color="auto" w:fill="auto"/>
            <w:vAlign w:val="center"/>
          </w:tcPr>
          <w:p w:rsidR="002758F2" w:rsidRPr="001D4F0A" w:rsidRDefault="002758F2" w:rsidP="001D4F0A">
            <w:pPr>
              <w:jc w:val="center"/>
              <w:rPr>
                <w:sz w:val="20"/>
                <w:szCs w:val="20"/>
              </w:rPr>
            </w:pPr>
            <w:r w:rsidRPr="001D4F0A">
              <w:rPr>
                <w:sz w:val="20"/>
                <w:szCs w:val="20"/>
              </w:rPr>
              <w:t>Év</w:t>
            </w:r>
          </w:p>
        </w:tc>
        <w:tc>
          <w:tcPr>
            <w:tcW w:w="1552" w:type="dxa"/>
            <w:vMerge w:val="restart"/>
            <w:shd w:val="clear" w:color="auto" w:fill="auto"/>
            <w:vAlign w:val="center"/>
          </w:tcPr>
          <w:p w:rsidR="002758F2" w:rsidRPr="001D4F0A" w:rsidRDefault="002758F2" w:rsidP="001D4F0A">
            <w:pPr>
              <w:jc w:val="center"/>
              <w:rPr>
                <w:sz w:val="20"/>
                <w:szCs w:val="20"/>
              </w:rPr>
            </w:pPr>
            <w:r w:rsidRPr="001D4F0A">
              <w:rPr>
                <w:sz w:val="20"/>
                <w:szCs w:val="20"/>
              </w:rPr>
              <w:t>Záróvizsgázók száma</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Szakdolgozat/Diplomadolgozat érdemjegyei</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Oklevél minősítése</w:t>
            </w:r>
          </w:p>
        </w:tc>
      </w:tr>
      <w:tr w:rsidR="002758F2" w:rsidRPr="001D4F0A">
        <w:tc>
          <w:tcPr>
            <w:tcW w:w="1008" w:type="dxa"/>
            <w:vMerge/>
            <w:shd w:val="clear" w:color="auto" w:fill="auto"/>
            <w:vAlign w:val="center"/>
          </w:tcPr>
          <w:p w:rsidR="002758F2" w:rsidRPr="001D4F0A" w:rsidRDefault="002758F2" w:rsidP="001D4F0A">
            <w:pPr>
              <w:jc w:val="center"/>
              <w:rPr>
                <w:sz w:val="20"/>
                <w:szCs w:val="20"/>
              </w:rPr>
            </w:pPr>
          </w:p>
        </w:tc>
        <w:tc>
          <w:tcPr>
            <w:tcW w:w="1552" w:type="dxa"/>
            <w:vMerge/>
            <w:shd w:val="clear" w:color="auto" w:fill="auto"/>
            <w:vAlign w:val="center"/>
          </w:tcPr>
          <w:p w:rsidR="002758F2" w:rsidRPr="001D4F0A" w:rsidRDefault="002758F2" w:rsidP="001D4F0A">
            <w:pPr>
              <w:jc w:val="center"/>
              <w:rPr>
                <w:sz w:val="20"/>
                <w:szCs w:val="20"/>
              </w:rPr>
            </w:pP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5</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4</w:t>
            </w: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3</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2</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1</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kitűnő</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jeles</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jó</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 xml:space="preserve">Köze-pes </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Elégsé-ges</w:t>
            </w:r>
          </w:p>
        </w:tc>
      </w:tr>
      <w:tr w:rsidR="002758F2">
        <w:tc>
          <w:tcPr>
            <w:tcW w:w="1008" w:type="dxa"/>
            <w:shd w:val="clear" w:color="auto" w:fill="auto"/>
          </w:tcPr>
          <w:p w:rsidR="002758F2" w:rsidRDefault="0079054A" w:rsidP="00AB761F">
            <w:r>
              <w:t>20</w:t>
            </w:r>
            <w:r w:rsidR="0092496E">
              <w:t>1</w:t>
            </w:r>
            <w:r w:rsidR="00AB761F">
              <w:t>6</w:t>
            </w:r>
            <w:r w:rsidR="0022769D">
              <w:t>/1</w:t>
            </w:r>
            <w:r w:rsidR="00AB761F">
              <w:t>7</w:t>
            </w:r>
          </w:p>
        </w:tc>
        <w:tc>
          <w:tcPr>
            <w:tcW w:w="1552" w:type="dxa"/>
            <w:shd w:val="clear" w:color="auto" w:fill="auto"/>
          </w:tcPr>
          <w:p w:rsidR="002758F2" w:rsidRDefault="005E1ABE" w:rsidP="006C25CD">
            <w:r>
              <w:t>5</w:t>
            </w:r>
          </w:p>
        </w:tc>
        <w:tc>
          <w:tcPr>
            <w:tcW w:w="719" w:type="dxa"/>
            <w:shd w:val="clear" w:color="auto" w:fill="auto"/>
          </w:tcPr>
          <w:p w:rsidR="002758F2" w:rsidRDefault="005E1ABE" w:rsidP="006C25CD">
            <w:r>
              <w:t>4</w:t>
            </w:r>
          </w:p>
        </w:tc>
        <w:tc>
          <w:tcPr>
            <w:tcW w:w="720" w:type="dxa"/>
            <w:shd w:val="clear" w:color="auto" w:fill="auto"/>
          </w:tcPr>
          <w:p w:rsidR="002758F2" w:rsidRDefault="00564276" w:rsidP="006C25CD">
            <w:r>
              <w:t>1</w:t>
            </w:r>
          </w:p>
        </w:tc>
        <w:tc>
          <w:tcPr>
            <w:tcW w:w="719" w:type="dxa"/>
            <w:shd w:val="clear" w:color="auto" w:fill="auto"/>
          </w:tcPr>
          <w:p w:rsidR="002758F2" w:rsidRDefault="002758F2" w:rsidP="006C25CD"/>
        </w:tc>
        <w:tc>
          <w:tcPr>
            <w:tcW w:w="720" w:type="dxa"/>
            <w:shd w:val="clear" w:color="auto" w:fill="auto"/>
          </w:tcPr>
          <w:p w:rsidR="002758F2" w:rsidRDefault="002758F2" w:rsidP="006C25CD"/>
        </w:tc>
        <w:tc>
          <w:tcPr>
            <w:tcW w:w="720" w:type="dxa"/>
            <w:shd w:val="clear" w:color="auto" w:fill="auto"/>
          </w:tcPr>
          <w:p w:rsidR="002758F2" w:rsidRDefault="002758F2" w:rsidP="006C25CD"/>
        </w:tc>
        <w:tc>
          <w:tcPr>
            <w:tcW w:w="719" w:type="dxa"/>
            <w:shd w:val="clear" w:color="auto" w:fill="auto"/>
          </w:tcPr>
          <w:p w:rsidR="002758F2" w:rsidRDefault="002758F2" w:rsidP="006C25CD"/>
        </w:tc>
        <w:tc>
          <w:tcPr>
            <w:tcW w:w="720" w:type="dxa"/>
            <w:shd w:val="clear" w:color="auto" w:fill="auto"/>
          </w:tcPr>
          <w:p w:rsidR="002758F2" w:rsidRDefault="005E1ABE" w:rsidP="006C25CD">
            <w:r>
              <w:t>4</w:t>
            </w:r>
          </w:p>
        </w:tc>
        <w:tc>
          <w:tcPr>
            <w:tcW w:w="719" w:type="dxa"/>
            <w:shd w:val="clear" w:color="auto" w:fill="auto"/>
          </w:tcPr>
          <w:p w:rsidR="002758F2" w:rsidRDefault="00564276" w:rsidP="006C25CD">
            <w:r>
              <w:t>1</w:t>
            </w:r>
          </w:p>
        </w:tc>
        <w:tc>
          <w:tcPr>
            <w:tcW w:w="720" w:type="dxa"/>
            <w:shd w:val="clear" w:color="auto" w:fill="auto"/>
          </w:tcPr>
          <w:p w:rsidR="002758F2" w:rsidRDefault="002758F2" w:rsidP="006C25CD"/>
        </w:tc>
        <w:tc>
          <w:tcPr>
            <w:tcW w:w="720" w:type="dxa"/>
            <w:shd w:val="clear" w:color="auto" w:fill="auto"/>
          </w:tcPr>
          <w:p w:rsidR="002758F2" w:rsidRDefault="002758F2" w:rsidP="006C25CD"/>
        </w:tc>
      </w:tr>
      <w:tr w:rsidR="00377C03">
        <w:tc>
          <w:tcPr>
            <w:tcW w:w="1008" w:type="dxa"/>
            <w:shd w:val="clear" w:color="auto" w:fill="auto"/>
          </w:tcPr>
          <w:p w:rsidR="00377C03" w:rsidRDefault="00377C03" w:rsidP="00AB761F">
            <w:r>
              <w:t>2017/18</w:t>
            </w:r>
          </w:p>
        </w:tc>
        <w:tc>
          <w:tcPr>
            <w:tcW w:w="1552" w:type="dxa"/>
            <w:shd w:val="clear" w:color="auto" w:fill="auto"/>
          </w:tcPr>
          <w:p w:rsidR="00377C03" w:rsidRDefault="00377C03" w:rsidP="006C25CD">
            <w:r>
              <w:t>7</w:t>
            </w:r>
          </w:p>
        </w:tc>
        <w:tc>
          <w:tcPr>
            <w:tcW w:w="719" w:type="dxa"/>
            <w:shd w:val="clear" w:color="auto" w:fill="auto"/>
          </w:tcPr>
          <w:p w:rsidR="00377C03" w:rsidRDefault="00377C03" w:rsidP="006C25CD">
            <w:r>
              <w:t>7</w:t>
            </w:r>
          </w:p>
        </w:tc>
        <w:tc>
          <w:tcPr>
            <w:tcW w:w="720" w:type="dxa"/>
            <w:shd w:val="clear" w:color="auto" w:fill="auto"/>
          </w:tcPr>
          <w:p w:rsidR="00377C03" w:rsidRDefault="00377C03" w:rsidP="006C25CD"/>
        </w:tc>
        <w:tc>
          <w:tcPr>
            <w:tcW w:w="719" w:type="dxa"/>
            <w:shd w:val="clear" w:color="auto" w:fill="auto"/>
          </w:tcPr>
          <w:p w:rsidR="00377C03" w:rsidRDefault="00377C03" w:rsidP="006C25CD"/>
        </w:tc>
        <w:tc>
          <w:tcPr>
            <w:tcW w:w="720" w:type="dxa"/>
            <w:shd w:val="clear" w:color="auto" w:fill="auto"/>
          </w:tcPr>
          <w:p w:rsidR="00377C03" w:rsidRDefault="00377C03" w:rsidP="006C25CD"/>
        </w:tc>
        <w:tc>
          <w:tcPr>
            <w:tcW w:w="720" w:type="dxa"/>
            <w:shd w:val="clear" w:color="auto" w:fill="auto"/>
          </w:tcPr>
          <w:p w:rsidR="00377C03" w:rsidRDefault="00377C03" w:rsidP="006C25CD"/>
        </w:tc>
        <w:tc>
          <w:tcPr>
            <w:tcW w:w="719" w:type="dxa"/>
            <w:shd w:val="clear" w:color="auto" w:fill="auto"/>
          </w:tcPr>
          <w:p w:rsidR="00377C03" w:rsidRDefault="00377C03" w:rsidP="006C25CD">
            <w:r>
              <w:t>1</w:t>
            </w:r>
          </w:p>
        </w:tc>
        <w:tc>
          <w:tcPr>
            <w:tcW w:w="720" w:type="dxa"/>
            <w:shd w:val="clear" w:color="auto" w:fill="auto"/>
          </w:tcPr>
          <w:p w:rsidR="00377C03" w:rsidRDefault="00377C03" w:rsidP="006C25CD">
            <w:r>
              <w:t>1</w:t>
            </w:r>
          </w:p>
        </w:tc>
        <w:tc>
          <w:tcPr>
            <w:tcW w:w="719" w:type="dxa"/>
            <w:shd w:val="clear" w:color="auto" w:fill="auto"/>
          </w:tcPr>
          <w:p w:rsidR="00377C03" w:rsidRDefault="00377C03" w:rsidP="006C25CD">
            <w:r>
              <w:t>5</w:t>
            </w:r>
          </w:p>
        </w:tc>
        <w:tc>
          <w:tcPr>
            <w:tcW w:w="720" w:type="dxa"/>
            <w:shd w:val="clear" w:color="auto" w:fill="auto"/>
          </w:tcPr>
          <w:p w:rsidR="00377C03" w:rsidRDefault="00377C03" w:rsidP="006C25CD"/>
        </w:tc>
        <w:tc>
          <w:tcPr>
            <w:tcW w:w="720" w:type="dxa"/>
            <w:shd w:val="clear" w:color="auto" w:fill="auto"/>
          </w:tcPr>
          <w:p w:rsidR="00377C03" w:rsidRDefault="00377C03" w:rsidP="006C25CD"/>
        </w:tc>
      </w:tr>
    </w:tbl>
    <w:p w:rsidR="0022769D" w:rsidRPr="0054523E" w:rsidRDefault="000367BA" w:rsidP="0022769D">
      <w:pPr>
        <w:pStyle w:val="Kpalrs"/>
        <w:keepNext/>
        <w:jc w:val="center"/>
        <w:rPr>
          <w:sz w:val="24"/>
          <w:szCs w:val="24"/>
        </w:rPr>
      </w:pPr>
      <w:r>
        <w:rPr>
          <w:sz w:val="24"/>
          <w:szCs w:val="24"/>
        </w:rPr>
        <w:t>5</w:t>
      </w:r>
      <w:r w:rsidR="0022769D" w:rsidRPr="00D84EB7">
        <w:rPr>
          <w:sz w:val="24"/>
          <w:szCs w:val="24"/>
        </w:rPr>
        <w:t>. táblázat:</w:t>
      </w:r>
      <w:r w:rsidR="0022769D" w:rsidRPr="00D068B5">
        <w:rPr>
          <w:sz w:val="24"/>
          <w:szCs w:val="24"/>
        </w:rPr>
        <w:t xml:space="preserve"> </w:t>
      </w:r>
      <w:r w:rsidR="0022769D" w:rsidRPr="00781A54">
        <w:rPr>
          <w:sz w:val="24"/>
          <w:szCs w:val="24"/>
        </w:rPr>
        <w:t xml:space="preserve">Záróvizsga </w:t>
      </w:r>
      <w:r w:rsidR="0022769D">
        <w:rPr>
          <w:sz w:val="24"/>
          <w:szCs w:val="24"/>
        </w:rPr>
        <w:t>tárgyainak eredménye 201</w:t>
      </w:r>
      <w:r w:rsidR="004834F9">
        <w:rPr>
          <w:sz w:val="24"/>
          <w:szCs w:val="24"/>
        </w:rPr>
        <w:t>8</w:t>
      </w:r>
      <w:r w:rsidR="005D62D1">
        <w:rPr>
          <w:sz w:val="24"/>
          <w:szCs w:val="24"/>
        </w:rPr>
        <w:t>-ba</w:t>
      </w:r>
      <w:r w:rsidR="0022769D" w:rsidRPr="00781A54">
        <w:rPr>
          <w:sz w:val="24"/>
          <w:szCs w:val="24"/>
        </w:rPr>
        <w:t>n</w:t>
      </w:r>
      <w:r w:rsidR="0022769D">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22769D">
        <w:trPr>
          <w:jc w:val="center"/>
        </w:trPr>
        <w:tc>
          <w:tcPr>
            <w:tcW w:w="1936" w:type="dxa"/>
            <w:shd w:val="clear" w:color="auto" w:fill="auto"/>
          </w:tcPr>
          <w:p w:rsidR="0022769D" w:rsidRDefault="0022769D" w:rsidP="00F7731E">
            <w:pPr>
              <w:jc w:val="center"/>
            </w:pPr>
          </w:p>
        </w:tc>
        <w:tc>
          <w:tcPr>
            <w:tcW w:w="1936" w:type="dxa"/>
            <w:shd w:val="clear" w:color="auto" w:fill="auto"/>
          </w:tcPr>
          <w:p w:rsidR="0022769D" w:rsidRDefault="0022769D" w:rsidP="00F7731E">
            <w:pPr>
              <w:jc w:val="center"/>
            </w:pPr>
            <w:r>
              <w:t>Vizsgázók száma</w:t>
            </w:r>
          </w:p>
          <w:p w:rsidR="0022769D" w:rsidRDefault="0022769D" w:rsidP="00F7731E">
            <w:pPr>
              <w:jc w:val="center"/>
            </w:pPr>
            <w:r>
              <w:t>(Fő)</w:t>
            </w:r>
          </w:p>
        </w:tc>
        <w:tc>
          <w:tcPr>
            <w:tcW w:w="1936" w:type="dxa"/>
            <w:shd w:val="clear" w:color="auto" w:fill="auto"/>
          </w:tcPr>
          <w:p w:rsidR="0022769D" w:rsidRDefault="0022769D" w:rsidP="00F7731E">
            <w:pPr>
              <w:jc w:val="center"/>
            </w:pPr>
            <w:r>
              <w:t>Teljesítési %</w:t>
            </w:r>
          </w:p>
        </w:tc>
        <w:tc>
          <w:tcPr>
            <w:tcW w:w="1936" w:type="dxa"/>
            <w:shd w:val="clear" w:color="auto" w:fill="auto"/>
          </w:tcPr>
          <w:p w:rsidR="0022769D" w:rsidRDefault="0022769D" w:rsidP="00F7731E">
            <w:pPr>
              <w:jc w:val="center"/>
            </w:pPr>
            <w:r>
              <w:t>Teljesítés átlaga</w:t>
            </w:r>
          </w:p>
        </w:tc>
      </w:tr>
      <w:tr w:rsidR="0022769D">
        <w:trPr>
          <w:jc w:val="center"/>
        </w:trPr>
        <w:tc>
          <w:tcPr>
            <w:tcW w:w="1936" w:type="dxa"/>
            <w:shd w:val="clear" w:color="auto" w:fill="auto"/>
          </w:tcPr>
          <w:p w:rsidR="0022769D" w:rsidRDefault="0022769D" w:rsidP="00F7731E">
            <w:r>
              <w:t>Szakdolgozat</w:t>
            </w:r>
          </w:p>
        </w:tc>
        <w:tc>
          <w:tcPr>
            <w:tcW w:w="1936" w:type="dxa"/>
            <w:shd w:val="clear" w:color="auto" w:fill="auto"/>
          </w:tcPr>
          <w:p w:rsidR="0022769D" w:rsidRDefault="00377C03" w:rsidP="00F7731E">
            <w:r>
              <w:t>7</w:t>
            </w:r>
          </w:p>
        </w:tc>
        <w:tc>
          <w:tcPr>
            <w:tcW w:w="1936" w:type="dxa"/>
            <w:shd w:val="clear" w:color="auto" w:fill="auto"/>
          </w:tcPr>
          <w:p w:rsidR="0022769D" w:rsidRDefault="00564276" w:rsidP="00F7731E">
            <w:r>
              <w:t>100</w:t>
            </w:r>
          </w:p>
        </w:tc>
        <w:tc>
          <w:tcPr>
            <w:tcW w:w="1936" w:type="dxa"/>
            <w:shd w:val="clear" w:color="auto" w:fill="auto"/>
          </w:tcPr>
          <w:p w:rsidR="0022769D" w:rsidRPr="00812B71" w:rsidRDefault="00377C03" w:rsidP="00F7731E">
            <w:r>
              <w:t>5,0</w:t>
            </w:r>
          </w:p>
        </w:tc>
      </w:tr>
      <w:tr w:rsidR="00564276">
        <w:trPr>
          <w:jc w:val="center"/>
        </w:trPr>
        <w:tc>
          <w:tcPr>
            <w:tcW w:w="1936" w:type="dxa"/>
            <w:shd w:val="clear" w:color="auto" w:fill="auto"/>
          </w:tcPr>
          <w:p w:rsidR="00564276" w:rsidRDefault="00564276" w:rsidP="00F7731E">
            <w:r>
              <w:t xml:space="preserve">ZV tárgy 1. </w:t>
            </w:r>
          </w:p>
        </w:tc>
        <w:tc>
          <w:tcPr>
            <w:tcW w:w="1936" w:type="dxa"/>
            <w:shd w:val="clear" w:color="auto" w:fill="auto"/>
          </w:tcPr>
          <w:p w:rsidR="00564276" w:rsidRDefault="00377C03" w:rsidP="008575CE">
            <w:r>
              <w:t>7</w:t>
            </w:r>
          </w:p>
        </w:tc>
        <w:tc>
          <w:tcPr>
            <w:tcW w:w="1936" w:type="dxa"/>
            <w:shd w:val="clear" w:color="auto" w:fill="auto"/>
          </w:tcPr>
          <w:p w:rsidR="00564276" w:rsidRDefault="00564276" w:rsidP="008575CE">
            <w:r>
              <w:t>100</w:t>
            </w:r>
          </w:p>
        </w:tc>
        <w:tc>
          <w:tcPr>
            <w:tcW w:w="1936" w:type="dxa"/>
            <w:shd w:val="clear" w:color="auto" w:fill="auto"/>
          </w:tcPr>
          <w:p w:rsidR="00564276" w:rsidRPr="00812B71" w:rsidRDefault="00377C03" w:rsidP="008B4EC8">
            <w:r>
              <w:t>3,57</w:t>
            </w:r>
          </w:p>
        </w:tc>
      </w:tr>
      <w:tr w:rsidR="00564276">
        <w:trPr>
          <w:jc w:val="center"/>
        </w:trPr>
        <w:tc>
          <w:tcPr>
            <w:tcW w:w="1936" w:type="dxa"/>
            <w:shd w:val="clear" w:color="auto" w:fill="auto"/>
          </w:tcPr>
          <w:p w:rsidR="00564276" w:rsidRDefault="00564276" w:rsidP="00F7731E">
            <w:r>
              <w:t>ZV tárgy2.</w:t>
            </w:r>
          </w:p>
        </w:tc>
        <w:tc>
          <w:tcPr>
            <w:tcW w:w="1936" w:type="dxa"/>
            <w:shd w:val="clear" w:color="auto" w:fill="auto"/>
          </w:tcPr>
          <w:p w:rsidR="00564276" w:rsidRDefault="00377C03" w:rsidP="008575CE">
            <w:r>
              <w:t>7</w:t>
            </w:r>
          </w:p>
        </w:tc>
        <w:tc>
          <w:tcPr>
            <w:tcW w:w="1936" w:type="dxa"/>
            <w:shd w:val="clear" w:color="auto" w:fill="auto"/>
          </w:tcPr>
          <w:p w:rsidR="00564276" w:rsidRDefault="00564276" w:rsidP="008575CE">
            <w:r>
              <w:t>100</w:t>
            </w:r>
          </w:p>
        </w:tc>
        <w:tc>
          <w:tcPr>
            <w:tcW w:w="1936" w:type="dxa"/>
            <w:shd w:val="clear" w:color="auto" w:fill="auto"/>
          </w:tcPr>
          <w:p w:rsidR="00564276" w:rsidRPr="00812B71" w:rsidRDefault="00377C03" w:rsidP="00F7731E">
            <w:r>
              <w:t>4,43</w:t>
            </w:r>
          </w:p>
        </w:tc>
      </w:tr>
    </w:tbl>
    <w:p w:rsidR="002758F2" w:rsidRDefault="002758F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773"/>
      <w:r w:rsidRPr="00384D42">
        <w:rPr>
          <w:sz w:val="28"/>
          <w:szCs w:val="28"/>
        </w:rPr>
        <w:t>A képzési folyamat és eredményei</w:t>
      </w:r>
      <w:bookmarkEnd w:id="14"/>
    </w:p>
    <w:p w:rsidR="003454F7" w:rsidRPr="00333032" w:rsidRDefault="003454F7" w:rsidP="003454F7">
      <w:pPr>
        <w:autoSpaceDE w:val="0"/>
        <w:autoSpaceDN w:val="0"/>
        <w:adjustRightInd w:val="0"/>
        <w:jc w:val="both"/>
      </w:pPr>
      <w:r w:rsidRPr="00333032">
        <w:t>Minden szempontot legalább egy bekezdésben részletezzen:</w:t>
      </w:r>
    </w:p>
    <w:p w:rsidR="003454F7" w:rsidRPr="00333032" w:rsidRDefault="003454F7" w:rsidP="003454F7">
      <w:pPr>
        <w:autoSpaceDE w:val="0"/>
        <w:autoSpaceDN w:val="0"/>
        <w:adjustRightInd w:val="0"/>
        <w:jc w:val="both"/>
      </w:pPr>
    </w:p>
    <w:p w:rsidR="00CD76C5" w:rsidRDefault="003454F7" w:rsidP="00CD76C5">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figyelembe a változó gyakorlati elvárásokat, és kérnek-, kapnak-e visszacsatolást a gyakorlat részéről?</w:t>
      </w:r>
    </w:p>
    <w:p w:rsidR="00CD76C5" w:rsidRDefault="00CD76C5" w:rsidP="00CD76C5">
      <w:pPr>
        <w:autoSpaceDE w:val="0"/>
        <w:autoSpaceDN w:val="0"/>
        <w:adjustRightInd w:val="0"/>
        <w:ind w:left="360"/>
        <w:jc w:val="both"/>
      </w:pPr>
      <w:r w:rsidRPr="00766D37">
        <w:t>A tananyagok és a tanterv folyamatos fejlesztésen megy keresztül, mivel a tárgyfelelősök próbálnak megfelelni a kétszintű képzés szinte évről-évre felmerülő új</w:t>
      </w:r>
      <w:r>
        <w:t xml:space="preserve">abb kihívásainak, problémáinak, eközben az új szakmai eredmények is </w:t>
      </w:r>
      <w:r w:rsidR="008F1528">
        <w:t>be tudnak épülni a tananyagba.</w:t>
      </w:r>
    </w:p>
    <w:p w:rsidR="00CD76C5" w:rsidRPr="00333032" w:rsidRDefault="00CD76C5" w:rsidP="00CD76C5">
      <w:pPr>
        <w:autoSpaceDE w:val="0"/>
        <w:autoSpaceDN w:val="0"/>
        <w:adjustRightInd w:val="0"/>
        <w:ind w:left="708"/>
        <w:jc w:val="both"/>
      </w:pPr>
    </w:p>
    <w:p w:rsidR="003454F7" w:rsidRDefault="003454F7" w:rsidP="003454F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való továbblépésre. Oktatják-e a szakon az önálló kutatáshoz szükséges ismereteket? (Tudományelmélet, kutatásmódszertan, könyvhasználat, e-learning stb.) Ha igen, mit, mikor, milyen mélységben.</w:t>
      </w:r>
    </w:p>
    <w:p w:rsidR="00552855" w:rsidRPr="005E3184" w:rsidRDefault="00B329E5" w:rsidP="005E3184">
      <w:pPr>
        <w:spacing w:before="60" w:after="60"/>
        <w:ind w:left="360"/>
        <w:jc w:val="both"/>
      </w:pPr>
      <w:r>
        <w:t xml:space="preserve">A vegyész mesterszak talán az ötéves vegyész képzésnél is jobban felkészíti a hallgatókat a doktori képzésre, így a végzettek </w:t>
      </w:r>
      <w:r w:rsidR="003E1ED7">
        <w:t>remélhetőleg</w:t>
      </w:r>
      <w:r>
        <w:t xml:space="preserve"> még nagyobb arányban be is fognak kerülni abba. A Kémiai információkeresés kurzus keretén belül már alapszakon megismerkedtek a szakirodalom tanulmányozási módszereivel. Kutatásmódszertant külön tárgy keretében nem tanulnak, de a nagy óraszámú és sokféle hallgatói laboratóriumi gyakorlatok keretében ehhez is el</w:t>
      </w:r>
      <w:r w:rsidR="005E3184">
        <w:t xml:space="preserve">ég sok ismeretre tehetnek szert; melyre a tízkredites </w:t>
      </w:r>
      <w:r w:rsidR="005E3184" w:rsidRPr="005E3184">
        <w:t>Integrált kémiai laboratóriumi gyakorlatok vegyészeknek</w:t>
      </w:r>
      <w:r w:rsidR="005E3184">
        <w:t xml:space="preserve"> kurzus a legjobb példa.</w:t>
      </w:r>
      <w:r w:rsidR="003E1ED7">
        <w:t xml:space="preserve"> </w:t>
      </w:r>
    </w:p>
    <w:p w:rsidR="00552855" w:rsidRPr="00333032" w:rsidRDefault="00552855" w:rsidP="00552855">
      <w:pPr>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rsidR="003C5116">
        <w:t>etleges jövőbeni tervek.</w:t>
      </w:r>
    </w:p>
    <w:p w:rsidR="003C5116" w:rsidRDefault="001B3C1B" w:rsidP="003C5116">
      <w:pPr>
        <w:spacing w:before="60" w:after="60"/>
        <w:ind w:left="360"/>
        <w:jc w:val="both"/>
      </w:pPr>
      <w:r>
        <w:t>A tehetséggondozásnak a Tudományos Diákkör a legfontosabb színhelye</w:t>
      </w:r>
      <w:r w:rsidR="003E1ED7">
        <w:t>, mely</w:t>
      </w:r>
      <w:r>
        <w:t>be már alapszakos hallgatóként be</w:t>
      </w:r>
      <w:r w:rsidR="003E1ED7">
        <w:t>kapcsolódtak</w:t>
      </w:r>
      <w:r w:rsidR="00766255">
        <w:t xml:space="preserve"> diákjaink</w:t>
      </w:r>
      <w:r>
        <w:t xml:space="preserve">. Ennek köszönhetően többen két országos konferencián is részt tudnak venni a kétszintű képzési idejük alatt, amiből egyrészt nagyon sokat tanulhatnak, másrészt </w:t>
      </w:r>
      <w:r w:rsidR="003E1ED7">
        <w:t>így jó eséllyel indulhatnak</w:t>
      </w:r>
      <w:r>
        <w:t xml:space="preserve"> a </w:t>
      </w:r>
      <w:r w:rsidR="003E1ED7">
        <w:t xml:space="preserve">PhD felvételin </w:t>
      </w:r>
      <w:r w:rsidR="003E1ED7">
        <w:lastRenderedPageBreak/>
        <w:t>is. E</w:t>
      </w:r>
      <w:r>
        <w:t>rre a tevékenységre alapozva a szakkollégiumi rendszerben is tisztesen helyt tudnak állni, kiemelt, köztársasági vagy akár külföldi ösztöndíjakat is el tudnak nyerni.</w:t>
      </w:r>
    </w:p>
    <w:p w:rsidR="00A77D95" w:rsidRDefault="003E1ED7" w:rsidP="00A77D95">
      <w:pPr>
        <w:spacing w:before="60" w:after="60"/>
        <w:ind w:left="360"/>
        <w:jc w:val="both"/>
      </w:pPr>
      <w:r>
        <w:t>Az elmúlt időszakban a Kémia Intézet</w:t>
      </w:r>
      <w:r w:rsidR="00A77D95">
        <w:t xml:space="preserve"> </w:t>
      </w:r>
      <w:r>
        <w:t xml:space="preserve">a </w:t>
      </w:r>
      <w:r w:rsidRPr="003E1ED7">
        <w:t>NTP-OKA-I.</w:t>
      </w:r>
      <w:r>
        <w:t xml:space="preserve"> pályázat keretében további </w:t>
      </w:r>
      <w:r w:rsidR="00A77D95">
        <w:t>tehetséggondozó programokat indí</w:t>
      </w:r>
      <w:r>
        <w:t>tott</w:t>
      </w:r>
      <w:r w:rsidR="00A77D95">
        <w:t>, mely a hallgatók</w:t>
      </w:r>
      <w:r>
        <w:t>at</w:t>
      </w:r>
      <w:r w:rsidR="00A77D95">
        <w:t xml:space="preserve"> intenzívebb kutatómunkára, illetve </w:t>
      </w:r>
      <w:r>
        <w:t xml:space="preserve">tudományos </w:t>
      </w:r>
      <w:r w:rsidR="00A77D95">
        <w:t>előadások tartás</w:t>
      </w:r>
      <w:r>
        <w:t>ára</w:t>
      </w:r>
      <w:r w:rsidR="00A77D95">
        <w:t xml:space="preserve"> </w:t>
      </w:r>
      <w:r>
        <w:t xml:space="preserve">ösztönzi. </w:t>
      </w:r>
    </w:p>
    <w:p w:rsidR="001B3C1B" w:rsidRPr="00333032" w:rsidRDefault="001B3C1B" w:rsidP="003C5116">
      <w:pPr>
        <w:spacing w:before="60" w:after="60"/>
        <w:ind w:left="360"/>
        <w:jc w:val="both"/>
      </w:pPr>
    </w:p>
    <w:p w:rsidR="003454F7" w:rsidRDefault="003454F7" w:rsidP="003454F7">
      <w:pPr>
        <w:numPr>
          <w:ilvl w:val="0"/>
          <w:numId w:val="10"/>
        </w:numPr>
        <w:spacing w:before="60" w:after="60"/>
        <w:ind w:left="714" w:hanging="357"/>
        <w:jc w:val="both"/>
      </w:pPr>
      <w:r w:rsidRPr="00333032">
        <w:t>A gyakorlati képzésben az alkalmazási területekre történő felkészítés bemutatása.</w:t>
      </w:r>
    </w:p>
    <w:p w:rsidR="001E5C20" w:rsidRDefault="00B65DC6" w:rsidP="001E5C20">
      <w:pPr>
        <w:spacing w:before="60" w:after="60"/>
        <w:ind w:left="357"/>
        <w:jc w:val="both"/>
      </w:pPr>
      <w:r>
        <w:t>Ezen a gyakorlatorientált képzésen az alkalmazási területeket kellő alapossággal ismerhetik meg a hallgatók.</w:t>
      </w:r>
      <w:r w:rsidR="001E5C20">
        <w:t xml:space="preserve"> </w:t>
      </w:r>
      <w:r w:rsidR="001E5C20" w:rsidRPr="00EE6ED8">
        <w:t xml:space="preserve">A szakmai törzsanyag tárgyainak 42%-át,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r w:rsidR="005B44CD">
        <w:t>A</w:t>
      </w:r>
      <w:r w:rsidR="001E5C20">
        <w:t xml:space="preserve"> szemináriumok és laboratóriumi gyakorlatok jelentős hányad</w:t>
      </w:r>
      <w:r w:rsidR="005B44CD">
        <w:t>a</w:t>
      </w:r>
      <w:r w:rsidR="001E5C20">
        <w:t xml:space="preserve"> kis létszámú hallgatói csoportok</w:t>
      </w:r>
      <w:r w:rsidR="005B44CD">
        <w:t>ban zajli</w:t>
      </w:r>
      <w:r w:rsidR="001E5C20">
        <w:t>k, ahol a hallgató és az oktató személyes kontaktusa teszi lehetővé a megfelelő kompetenciák elsajátításának ellenőrzését</w:t>
      </w:r>
    </w:p>
    <w:p w:rsidR="00A77D95" w:rsidRPr="00333032" w:rsidRDefault="00A77D95" w:rsidP="00A77D95">
      <w:pPr>
        <w:spacing w:before="60" w:after="60"/>
        <w:ind w:left="357"/>
        <w:jc w:val="both"/>
      </w:pPr>
    </w:p>
    <w:p w:rsidR="003454F7" w:rsidRDefault="003454F7" w:rsidP="003454F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7966F1" w:rsidRDefault="00923919" w:rsidP="000D13B3">
      <w:pPr>
        <w:autoSpaceDE w:val="0"/>
        <w:autoSpaceDN w:val="0"/>
        <w:adjustRightInd w:val="0"/>
        <w:spacing w:before="60" w:after="60"/>
        <w:ind w:left="357"/>
      </w:pPr>
      <w:r>
        <w:t xml:space="preserve">A kötelezően teljesítendő szakmai gyakorlat </w:t>
      </w:r>
      <w:r w:rsidR="00A6600D">
        <w:t xml:space="preserve">helyszíne szabadon választható, </w:t>
      </w:r>
      <w:r>
        <w:t>i</w:t>
      </w:r>
      <w:r w:rsidR="000D13B3">
        <w:t>dőtartama legalább 4 hét, mely</w:t>
      </w:r>
      <w:r>
        <w:t xml:space="preserve">ről </w:t>
      </w:r>
      <w:r w:rsidR="001E5C20">
        <w:t xml:space="preserve">a témavezetővel láttamoztatott </w:t>
      </w:r>
      <w:r>
        <w:t>írásos szakmai beszámolót kell készíteni.</w:t>
      </w:r>
    </w:p>
    <w:p w:rsidR="007966F1" w:rsidRPr="00333032" w:rsidRDefault="007966F1" w:rsidP="007966F1">
      <w:pPr>
        <w:autoSpaceDE w:val="0"/>
        <w:autoSpaceDN w:val="0"/>
        <w:adjustRightInd w:val="0"/>
        <w:spacing w:before="60" w:after="60"/>
        <w:ind w:left="357"/>
        <w:jc w:val="both"/>
      </w:pPr>
    </w:p>
    <w:p w:rsidR="003454F7" w:rsidRDefault="003454F7" w:rsidP="003454F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A6600D" w:rsidRDefault="00A6600D" w:rsidP="00A6600D">
      <w:pPr>
        <w:spacing w:before="60" w:after="60"/>
        <w:ind w:left="360"/>
        <w:jc w:val="both"/>
      </w:pPr>
      <w:r>
        <w:t>A vegyész mesterszakos hallgatók a kötelező tárgyak közül többet is együtt teljesítenek más, hasonló tudományterületen zajló mesterképzésre járókkal. A választható tárgyak széles kínálatából pedig megalapozhatják más társképzésekre való átjárás</w:t>
      </w:r>
      <w:r w:rsidR="00746566">
        <w:t>uk</w:t>
      </w:r>
      <w:r>
        <w:t xml:space="preserve"> lehetőségét.</w:t>
      </w:r>
    </w:p>
    <w:p w:rsidR="00A6600D" w:rsidRPr="00333032" w:rsidRDefault="00A6600D" w:rsidP="00A6600D">
      <w:pPr>
        <w:spacing w:before="60" w:after="60"/>
        <w:ind w:left="360"/>
        <w:jc w:val="both"/>
      </w:pPr>
    </w:p>
    <w:p w:rsidR="003454F7" w:rsidRDefault="003454F7" w:rsidP="003454F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rsidR="00746566">
        <w:t>dszerei, eljárásai és szabályai.</w:t>
      </w:r>
    </w:p>
    <w:p w:rsidR="00766255" w:rsidRPr="00BC1A0A" w:rsidRDefault="00766255" w:rsidP="00766255">
      <w:pPr>
        <w:spacing w:before="60" w:after="60"/>
        <w:ind w:left="360"/>
        <w:jc w:val="both"/>
      </w:pPr>
      <w:r>
        <w:t xml:space="preserve">A </w:t>
      </w:r>
      <w:r w:rsidRPr="00766255">
        <w:t>http://www.uni-pannon.hu/arhiv_anyagok/tanulmanyi_tajekoztato_201</w:t>
      </w:r>
      <w:r w:rsidR="004D6386">
        <w:t>2</w:t>
      </w:r>
      <w:r w:rsidRPr="00766255">
        <w:t>_201</w:t>
      </w:r>
      <w:r w:rsidR="004D6386">
        <w:t>3</w:t>
      </w:r>
      <w:r w:rsidRPr="00766255">
        <w:t>/</w:t>
      </w:r>
      <w:r>
        <w:t xml:space="preserve"> honlapon elérhető kiadványban megtalálható minden, a hallgatók tájékoztatását szolgáló információ (képzések, azok tantervei, a kreditrendszer fő vonásai, a Neptun hallgatói információs rendszer ismertetése, stb.). Ugyanitt elérhető az eljárásokat és szabályokat részletesen rögzítő Tanulmányi- és Vizsgaszabályzat</w:t>
      </w:r>
      <w:r w:rsidR="00302954">
        <w:t xml:space="preserve"> is.</w:t>
      </w:r>
    </w:p>
    <w:p w:rsidR="00766255" w:rsidRPr="00012A8D" w:rsidRDefault="00766255" w:rsidP="00766255">
      <w:pPr>
        <w:spacing w:before="60" w:after="60"/>
        <w:ind w:left="360"/>
        <w:jc w:val="both"/>
      </w:pPr>
      <w:r>
        <w:t xml:space="preserve">Adott félévekben meghirdetett tantárgyak esetében a részletes tantárgyleírások, a tantárgyi követelmények, az aláírás megszerzésének feltételei és a jegyek kialakításának módja a </w:t>
      </w:r>
      <w:r w:rsidR="00302954">
        <w:t xml:space="preserve">NEPTUN rendszerben </w:t>
      </w:r>
      <w:r>
        <w:t>megtalálhatók.</w:t>
      </w:r>
    </w:p>
    <w:p w:rsidR="00766255" w:rsidRPr="007055FA" w:rsidRDefault="00766255" w:rsidP="00766255">
      <w:pPr>
        <w:spacing w:before="60" w:after="60"/>
        <w:ind w:left="360"/>
        <w:jc w:val="both"/>
      </w:pPr>
      <w:r w:rsidRPr="007055FA">
        <w:t>A záróvizsgára bocsáthatóság feltétele a végbizonyítvány megléte és a benyújtott</w:t>
      </w:r>
      <w:r w:rsidR="005B44CD">
        <w:t>,</w:t>
      </w:r>
      <w:r w:rsidRPr="007055FA">
        <w:t xml:space="preserve"> írásban elbírált diplomadolgozat</w:t>
      </w:r>
      <w:r>
        <w:t>.</w:t>
      </w:r>
    </w:p>
    <w:p w:rsidR="00746566" w:rsidRDefault="00766255" w:rsidP="00766255">
      <w:pPr>
        <w:spacing w:before="60" w:after="60"/>
        <w:ind w:left="360"/>
        <w:jc w:val="both"/>
      </w:pPr>
      <w:r w:rsidRPr="007055FA">
        <w:t>A végbizonyítvány (abszolutórium) a tantervben előírt vizsgák eredményes letételét, a diplomamunkához rendelt kreditpontok kivételével az előírt kreditpontok megszerzését, a szakmai gyakorlat teljesítését igazolja.</w:t>
      </w:r>
    </w:p>
    <w:p w:rsidR="00746566" w:rsidRPr="00333032" w:rsidRDefault="00746566" w:rsidP="00746566">
      <w:pPr>
        <w:tabs>
          <w:tab w:val="left" w:pos="142"/>
        </w:tabs>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D501F9" w:rsidRDefault="00AB74DE" w:rsidP="005A1709">
      <w:pPr>
        <w:ind w:left="357"/>
        <w:jc w:val="both"/>
      </w:pPr>
      <w:r>
        <w:lastRenderedPageBreak/>
        <w:t>A záróvizsga a d</w:t>
      </w:r>
      <w:r w:rsidR="00D501F9">
        <w:t>iplomadolgozat megvédéséből, illetve analitikai kémiából</w:t>
      </w:r>
      <w:r>
        <w:t xml:space="preserve"> és a szigorlati tárgyként korábban nem választott általános- és szervetlen kémia vagy szerves kémia </w:t>
      </w:r>
      <w:r w:rsidR="00D501F9">
        <w:t>tárgyból áll –</w:t>
      </w:r>
      <w:r>
        <w:t>beleértve a differenciált szakmai ismeretek moduljaiban oktatott megfelelő tárgyakat is.</w:t>
      </w:r>
    </w:p>
    <w:p w:rsidR="00D501F9" w:rsidRDefault="00D501F9" w:rsidP="005A1709">
      <w:pPr>
        <w:ind w:left="357"/>
        <w:jc w:val="both"/>
      </w:pPr>
      <w:r w:rsidRPr="00904BD5">
        <w:t>Az oklevél minősítését a két szigorlat átlagának,</w:t>
      </w:r>
      <w:r>
        <w:t xml:space="preserve"> a diplomadolgozat-</w:t>
      </w:r>
      <w:r w:rsidRPr="00904BD5">
        <w:t xml:space="preserve">védés eredményének és a </w:t>
      </w:r>
      <w:r>
        <w:t xml:space="preserve">két </w:t>
      </w:r>
      <w:r w:rsidRPr="00904BD5">
        <w:t>zár</w:t>
      </w:r>
      <w:r>
        <w:t>óvizsga tárgyainak átlaga adja.</w:t>
      </w:r>
    </w:p>
    <w:p w:rsidR="00673014" w:rsidRPr="00904BD5" w:rsidRDefault="00673014" w:rsidP="005831E9">
      <w:pPr>
        <w:ind w:left="357"/>
        <w:jc w:val="both"/>
      </w:pPr>
      <w:r>
        <w:t xml:space="preserve">A záróvizsga-bizottságokat a szak tárgyainak felelős oktatói alkotják, így az ott szerzett tapasztalataikat saját maguk tudják felhasználni a következő évfolyamok </w:t>
      </w:r>
      <w:r w:rsidR="005831E9">
        <w:t>oktatásában.</w:t>
      </w:r>
      <w:r w:rsidR="00302954">
        <w:t xml:space="preserve"> A bizottságok külső tagjainak véleményét írásban rögzítjük.</w:t>
      </w:r>
    </w:p>
    <w:p w:rsidR="00AB74DE" w:rsidRPr="00333032" w:rsidRDefault="00AB74DE" w:rsidP="00D07709">
      <w:pPr>
        <w:spacing w:before="60" w:after="60"/>
        <w:ind w:left="360"/>
        <w:jc w:val="both"/>
      </w:pPr>
    </w:p>
    <w:p w:rsidR="003454F7" w:rsidRPr="00333032" w:rsidRDefault="003454F7" w:rsidP="003454F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3454F7" w:rsidRDefault="003454F7" w:rsidP="003454F7">
      <w:pPr>
        <w:pStyle w:val="abcrend"/>
        <w:numPr>
          <w:ilvl w:val="0"/>
          <w:numId w:val="0"/>
        </w:numPr>
        <w:tabs>
          <w:tab w:val="left" w:pos="1276"/>
        </w:tabs>
        <w:ind w:left="774"/>
      </w:pPr>
      <w:r w:rsidRPr="00333032">
        <w:tab/>
        <w:t>Becslésük szerint milyen arányban kezdeményezik a hallgatók a szakdolgozati témákat?</w:t>
      </w:r>
    </w:p>
    <w:p w:rsidR="000572BA" w:rsidRPr="00333032" w:rsidRDefault="000572BA" w:rsidP="003454F7">
      <w:pPr>
        <w:pStyle w:val="abcrend"/>
        <w:numPr>
          <w:ilvl w:val="0"/>
          <w:numId w:val="0"/>
        </w:numPr>
        <w:tabs>
          <w:tab w:val="left" w:pos="1276"/>
        </w:tabs>
        <w:ind w:left="774"/>
      </w:pPr>
      <w:r>
        <w:t>Viszonylag kis arányban, inkább a kiírt témák személyre szabott módosítása a jellemző.</w:t>
      </w:r>
    </w:p>
    <w:p w:rsidR="003454F7" w:rsidRDefault="003454F7" w:rsidP="003454F7">
      <w:pPr>
        <w:pStyle w:val="abcrend"/>
        <w:numPr>
          <w:ilvl w:val="0"/>
          <w:numId w:val="0"/>
        </w:numPr>
        <w:ind w:left="1276" w:hanging="502"/>
      </w:pPr>
      <w:r w:rsidRPr="00333032">
        <w:tab/>
        <w:t>A szakdolgozatok témavezetői között milyen a vezetőoktatók (tanár, docen</w:t>
      </w:r>
      <w:r w:rsidR="000572BA">
        <w:t>s) és a beosztottak aránya?</w:t>
      </w:r>
    </w:p>
    <w:p w:rsidR="000572BA" w:rsidRPr="00333032" w:rsidRDefault="00BF094B" w:rsidP="00BF094B">
      <w:pPr>
        <w:pStyle w:val="abcrend"/>
        <w:numPr>
          <w:ilvl w:val="0"/>
          <w:numId w:val="0"/>
        </w:numPr>
        <w:ind w:left="1276" w:hanging="502"/>
      </w:pPr>
      <w:r>
        <w:t xml:space="preserve">A témavezetők döntően vezetőoktatók, </w:t>
      </w:r>
      <w:r w:rsidR="00062028">
        <w:t xml:space="preserve"> de</w:t>
      </w:r>
      <w:r>
        <w:t xml:space="preserve"> adjunktusok </w:t>
      </w:r>
      <w:r w:rsidR="00062028">
        <w:t xml:space="preserve">is </w:t>
      </w:r>
      <w:r>
        <w:t>írnak ki</w:t>
      </w:r>
      <w:r w:rsidR="00062028">
        <w:t xml:space="preserve"> témákat, illetve társ-témavezetőként szerepelnek</w:t>
      </w:r>
      <w:r>
        <w:t>.</w:t>
      </w:r>
    </w:p>
    <w:p w:rsidR="003454F7" w:rsidRDefault="003454F7" w:rsidP="003454F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53416B" w:rsidRDefault="009007E2" w:rsidP="003454F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0572BA" w:rsidRPr="00333032" w:rsidRDefault="000572BA" w:rsidP="003454F7">
      <w:pPr>
        <w:pStyle w:val="abcrend"/>
        <w:numPr>
          <w:ilvl w:val="0"/>
          <w:numId w:val="0"/>
        </w:numPr>
        <w:spacing w:after="60"/>
        <w:ind w:left="1276" w:hanging="425"/>
      </w:pPr>
    </w:p>
    <w:p w:rsidR="003454F7" w:rsidRPr="00333032" w:rsidRDefault="003454F7" w:rsidP="003454F7">
      <w:pPr>
        <w:pStyle w:val="abcrend"/>
        <w:numPr>
          <w:ilvl w:val="0"/>
          <w:numId w:val="11"/>
        </w:numPr>
        <w:spacing w:after="60"/>
        <w:rPr>
          <w:b/>
        </w:rPr>
      </w:pPr>
      <w:r w:rsidRPr="00333032">
        <w:rPr>
          <w:b/>
          <w:bCs/>
        </w:rPr>
        <w:t>Hallgatók részére nyújtott szolgáltatások:</w:t>
      </w:r>
    </w:p>
    <w:p w:rsidR="003454F7" w:rsidRDefault="003454F7" w:rsidP="003454F7">
      <w:pPr>
        <w:pStyle w:val="Lista"/>
        <w:numPr>
          <w:ilvl w:val="0"/>
          <w:numId w:val="0"/>
        </w:numPr>
        <w:ind w:left="720"/>
      </w:pPr>
      <w:r w:rsidRPr="00333032">
        <w:tab/>
        <w:t>Milyen hallgatói szolgáltatásokat biztosít a szak?</w:t>
      </w:r>
    </w:p>
    <w:p w:rsidR="001E11BB" w:rsidRPr="00333032" w:rsidRDefault="006E0CBF" w:rsidP="003454F7">
      <w:pPr>
        <w:pStyle w:val="Lista"/>
        <w:numPr>
          <w:ilvl w:val="0"/>
          <w:numId w:val="0"/>
        </w:numPr>
        <w:ind w:left="720"/>
        <w:rPr>
          <w:bCs/>
        </w:rPr>
      </w:pPr>
      <w:r>
        <w:rPr>
          <w:bCs/>
        </w:rPr>
        <w:t>Nincsenek kimondottan szakszintű szolgáltatások.</w:t>
      </w:r>
    </w:p>
    <w:p w:rsidR="003454F7" w:rsidRDefault="003454F7" w:rsidP="003454F7">
      <w:pPr>
        <w:ind w:left="708"/>
      </w:pPr>
      <w:r w:rsidRPr="00333032">
        <w:tab/>
        <w:t>Milyen hallgatói szolgáltatások állnak kari/intézményi szinten a hallgatók rendelkezésére?</w:t>
      </w:r>
    </w:p>
    <w:p w:rsidR="00302954" w:rsidRDefault="00302954" w:rsidP="003454F7">
      <w:pPr>
        <w:ind w:left="708"/>
      </w:pPr>
    </w:p>
    <w:p w:rsidR="003454F7" w:rsidRDefault="003454F7" w:rsidP="003454F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587CCC" w:rsidRDefault="00DA7CA3" w:rsidP="003454F7">
      <w:pPr>
        <w:ind w:left="708"/>
      </w:pPr>
      <w:hyperlink r:id="rId15" w:history="1">
        <w:r w:rsidR="00587CCC" w:rsidRPr="006D7040">
          <w:rPr>
            <w:rStyle w:val="Hiperhivatkozs"/>
          </w:rPr>
          <w:t>http://felviweb.uni-pannon.hu/index.php?option=com_content&amp;task=view&amp;id=56&amp;Itemid=0</w:t>
        </w:r>
      </w:hyperlink>
    </w:p>
    <w:p w:rsidR="002903C8" w:rsidRDefault="003454F7" w:rsidP="006E0CBF">
      <w:pPr>
        <w:ind w:firstLine="539"/>
      </w:pPr>
      <w:r w:rsidRPr="00333032">
        <w:rPr>
          <w:b/>
        </w:rPr>
        <w:t>Van-e szervezett módszerük a végzősök elhelyezkedésének figyelésére?</w:t>
      </w:r>
    </w:p>
    <w:p w:rsidR="002903C8" w:rsidRDefault="00006F24" w:rsidP="006E0CBF">
      <w:pPr>
        <w:ind w:firstLine="539"/>
      </w:pPr>
      <w:r>
        <w:t xml:space="preserve">Egyetemi szinten </w:t>
      </w:r>
      <w:r w:rsidR="00587CCC">
        <w:t xml:space="preserve">ez megoldott, szak szintjére </w:t>
      </w:r>
      <w:r>
        <w:t>nincs lebontva.</w:t>
      </w:r>
    </w:p>
    <w:p w:rsidR="00384D42" w:rsidRDefault="00384D4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5" w:name="_Toc289601774"/>
      <w:r w:rsidRPr="00384D42">
        <w:rPr>
          <w:sz w:val="28"/>
          <w:szCs w:val="28"/>
        </w:rPr>
        <w:t>Minőségbiztosítás, minőségfejlesztés</w:t>
      </w:r>
      <w:bookmarkEnd w:id="15"/>
    </w:p>
    <w:p w:rsidR="00384D42" w:rsidRDefault="00384D42" w:rsidP="002758F2">
      <w:pPr>
        <w:spacing w:before="120" w:after="120" w:line="360" w:lineRule="auto"/>
        <w:ind w:firstLine="539"/>
      </w:pPr>
    </w:p>
    <w:p w:rsidR="00574D16" w:rsidRPr="00333032" w:rsidRDefault="00574D16" w:rsidP="00574D16">
      <w:pPr>
        <w:pStyle w:val="Lista"/>
        <w:numPr>
          <w:ilvl w:val="0"/>
          <w:numId w:val="0"/>
        </w:numPr>
        <w:spacing w:after="0"/>
        <w:ind w:left="1080"/>
      </w:pPr>
      <w:r w:rsidRPr="00333032">
        <w:t>Hogyan biztosítja és fejleszti a szak saját minőségét</w:t>
      </w:r>
    </w:p>
    <w:p w:rsidR="00574D16" w:rsidRPr="00333032" w:rsidRDefault="00574D16" w:rsidP="00574D16">
      <w:pPr>
        <w:pStyle w:val="abcrend"/>
        <w:numPr>
          <w:ilvl w:val="0"/>
          <w:numId w:val="0"/>
        </w:numPr>
        <w:ind w:left="1134"/>
        <w:rPr>
          <w:u w:val="single"/>
        </w:rPr>
      </w:pPr>
      <w:r w:rsidRPr="00333032">
        <w:rPr>
          <w:u w:val="single"/>
        </w:rPr>
        <w:t>a bemenet körében</w:t>
      </w:r>
    </w:p>
    <w:p w:rsidR="00574D16" w:rsidRPr="00333032" w:rsidRDefault="00574D16" w:rsidP="00574D16">
      <w:pPr>
        <w:ind w:left="1134"/>
      </w:pPr>
      <w:r w:rsidRPr="00333032">
        <w:tab/>
        <w:t>oktatók:</w:t>
      </w:r>
      <w:r w:rsidR="00385DC9">
        <w:t xml:space="preserve"> a szűkös anyagi helyzet miatt kislétszámú oktató-kutatógárda alkalmazható csak, illetve ez az életmodell már csak kevesek számára vonzó, így csak a legelhivatottabbak döntenek az egyetemi karrier választása mellett</w:t>
      </w:r>
    </w:p>
    <w:p w:rsidR="00574D16" w:rsidRPr="00333032" w:rsidRDefault="00574D16" w:rsidP="00104CCD">
      <w:pPr>
        <w:ind w:left="1134"/>
      </w:pPr>
      <w:r w:rsidRPr="00333032">
        <w:lastRenderedPageBreak/>
        <w:tab/>
        <w:t>hallgatók:</w:t>
      </w:r>
      <w:r w:rsidR="00385DC9">
        <w:t xml:space="preserve"> </w:t>
      </w:r>
      <w:r w:rsidR="00BD12D7">
        <w:t>felvételi elbeszélgetés során meggyőződünk a hallgatók megfelelő előképzettségéről</w:t>
      </w:r>
    </w:p>
    <w:p w:rsidR="00574D16" w:rsidRPr="00333032" w:rsidRDefault="00574D16" w:rsidP="00574D16">
      <w:pPr>
        <w:ind w:left="1134"/>
      </w:pPr>
      <w:r w:rsidRPr="00333032">
        <w:tab/>
        <w:t>eszköz- és infrastrukturális ellátottság:</w:t>
      </w:r>
      <w:r w:rsidR="00825AC0">
        <w:t xml:space="preserve"> </w:t>
      </w:r>
      <w:r w:rsidR="007853DA">
        <w:t>a központi egyetemi források apadása miatt egyre több kutatási-fejlesztési program indításával, ipari megbízások és szakképzési hozzájárulások szerzésével</w:t>
      </w:r>
    </w:p>
    <w:p w:rsidR="00574D16" w:rsidRPr="00333032" w:rsidRDefault="00574D16" w:rsidP="00574D16">
      <w:pPr>
        <w:pStyle w:val="abcrend"/>
        <w:numPr>
          <w:ilvl w:val="0"/>
          <w:numId w:val="0"/>
        </w:numPr>
        <w:ind w:left="1134"/>
        <w:rPr>
          <w:u w:val="single"/>
        </w:rPr>
      </w:pPr>
      <w:r w:rsidRPr="00333032">
        <w:rPr>
          <w:u w:val="single"/>
        </w:rPr>
        <w:t>az oktatási-tanulási folyamatban</w:t>
      </w:r>
    </w:p>
    <w:p w:rsidR="00574D16" w:rsidRPr="00333032" w:rsidRDefault="00574D16" w:rsidP="00574D16">
      <w:pPr>
        <w:ind w:left="1134"/>
      </w:pPr>
      <w:r w:rsidRPr="00333032">
        <w:tab/>
        <w:t>oktatók:</w:t>
      </w:r>
      <w:r w:rsidR="009A1A00">
        <w:t xml:space="preserve"> továbbképzésekkel (pl. nyelvoktatás), az oktatóknak a szakmai konferenciákon való részvételének ösztönzésével</w:t>
      </w:r>
    </w:p>
    <w:p w:rsidR="00574D16" w:rsidRPr="00333032" w:rsidRDefault="00574D16" w:rsidP="00104CCD">
      <w:pPr>
        <w:ind w:left="1134"/>
      </w:pPr>
      <w:r w:rsidRPr="00333032">
        <w:tab/>
        <w:t>hallgatók:</w:t>
      </w:r>
      <w:r w:rsidR="009A1A00">
        <w:t xml:space="preserve"> </w:t>
      </w:r>
      <w:r w:rsidR="00BD12D7">
        <w:t>elvárjuk, hogy a mesterszakos hallgatók tevékenykedjenek a Tudományos Diákkörben, tehetséggondozási programokat indítunk</w:t>
      </w:r>
    </w:p>
    <w:p w:rsidR="00574D16" w:rsidRPr="00333032" w:rsidRDefault="00574D16" w:rsidP="00B87693">
      <w:pPr>
        <w:ind w:left="1134"/>
      </w:pPr>
      <w:r w:rsidRPr="00333032">
        <w:tab/>
        <w:t>eszköz- és infrastrukturális ellátottság:</w:t>
      </w:r>
      <w:r w:rsidR="00543742">
        <w:t xml:space="preserve"> </w:t>
      </w:r>
      <w:r w:rsidR="00195D2E">
        <w:t>a meglévő</w:t>
      </w:r>
      <w:r w:rsidR="001F73B2">
        <w:t xml:space="preserve"> eszközállomány egészének a hallgatók használatára történő bocsátás</w:t>
      </w:r>
      <w:r w:rsidR="00B87693">
        <w:t>áva</w:t>
      </w:r>
      <w:r w:rsidR="001F73B2">
        <w:t>l</w:t>
      </w:r>
      <w:r w:rsidR="00B87693">
        <w:t>.</w:t>
      </w:r>
    </w:p>
    <w:p w:rsidR="00574D16" w:rsidRPr="00333032" w:rsidRDefault="00574D16" w:rsidP="00574D16">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574D16" w:rsidRPr="00333032" w:rsidRDefault="00574D16" w:rsidP="00574D16">
      <w:pPr>
        <w:pStyle w:val="Lista"/>
        <w:numPr>
          <w:ilvl w:val="0"/>
          <w:numId w:val="0"/>
        </w:numPr>
        <w:spacing w:after="0"/>
        <w:ind w:left="1080"/>
      </w:pPr>
      <w:r w:rsidRPr="00333032">
        <w:t>Tesz-e fel a szak a saját működésére vonatkozó kérdéseket a következők körében? (Ha igen, részletezzék válaszaikat.)</w:t>
      </w:r>
    </w:p>
    <w:p w:rsidR="00574D16" w:rsidRPr="00333032" w:rsidRDefault="00574D16" w:rsidP="00574D16">
      <w:pPr>
        <w:pStyle w:val="abcrend"/>
        <w:numPr>
          <w:ilvl w:val="0"/>
          <w:numId w:val="0"/>
        </w:numPr>
        <w:ind w:left="1134"/>
      </w:pPr>
      <w:r w:rsidRPr="00333032">
        <w:tab/>
      </w:r>
      <w:r w:rsidR="001F26FB">
        <w:t>o</w:t>
      </w:r>
      <w:r w:rsidRPr="00333032">
        <w:t>ktatók</w:t>
      </w:r>
      <w:r w:rsidR="001F26FB">
        <w:t>: az évente kötelező oktatói-kutatói önértékelés keretén belül nyilatkozhatnak a szakok működéséről is</w:t>
      </w:r>
      <w:r w:rsidR="005474A3">
        <w:t>.</w:t>
      </w:r>
    </w:p>
    <w:p w:rsidR="00574D16" w:rsidRPr="00333032" w:rsidRDefault="00574D16" w:rsidP="00574D16">
      <w:pPr>
        <w:pStyle w:val="abcrend"/>
        <w:numPr>
          <w:ilvl w:val="0"/>
          <w:numId w:val="0"/>
        </w:numPr>
        <w:ind w:left="1134"/>
      </w:pPr>
      <w:r w:rsidRPr="00333032">
        <w:tab/>
        <w:t>hallgatók</w:t>
      </w:r>
      <w:r w:rsidR="001F26FB">
        <w:t>: a hallgatók véleményt formálhatnak minden kurzusról annak lezárásakor és most már minden évben az egész egyetemi életükről is elektronikus úton, mely véleményeket a kar vezetősége kiértékel</w:t>
      </w:r>
      <w:r w:rsidR="001F73B2">
        <w:t>i</w:t>
      </w:r>
      <w:r w:rsidR="001F26FB">
        <w:t xml:space="preserve"> és a szükséges konzekvenciákat le is vonja.</w:t>
      </w:r>
    </w:p>
    <w:p w:rsidR="00574D16" w:rsidRPr="00333032" w:rsidRDefault="00574D16" w:rsidP="00574D16">
      <w:pPr>
        <w:pStyle w:val="abcrend"/>
        <w:numPr>
          <w:ilvl w:val="0"/>
          <w:numId w:val="0"/>
        </w:numPr>
        <w:ind w:left="1134"/>
      </w:pPr>
      <w:r w:rsidRPr="00333032">
        <w:tab/>
        <w:t>végzett hallgatók</w:t>
      </w:r>
    </w:p>
    <w:p w:rsidR="00574D16" w:rsidRPr="00333032" w:rsidRDefault="00574D16" w:rsidP="00574D16">
      <w:pPr>
        <w:pStyle w:val="abcrend"/>
        <w:numPr>
          <w:ilvl w:val="0"/>
          <w:numId w:val="0"/>
        </w:numPr>
        <w:ind w:left="1134"/>
      </w:pPr>
      <w:r w:rsidRPr="00333032">
        <w:tab/>
        <w:t>felhasználók</w:t>
      </w:r>
    </w:p>
    <w:p w:rsidR="00574D16" w:rsidRPr="00333032" w:rsidRDefault="00574D16" w:rsidP="00574D16">
      <w:pPr>
        <w:pStyle w:val="abcrend"/>
        <w:numPr>
          <w:ilvl w:val="0"/>
          <w:numId w:val="0"/>
        </w:numPr>
        <w:ind w:left="1134"/>
      </w:pPr>
      <w:r w:rsidRPr="00333032">
        <w:tab/>
        <w:t>egyéb:</w:t>
      </w:r>
    </w:p>
    <w:p w:rsidR="00574D16" w:rsidRDefault="00574D16" w:rsidP="00574D16">
      <w:pPr>
        <w:pStyle w:val="Lista"/>
        <w:numPr>
          <w:ilvl w:val="0"/>
          <w:numId w:val="12"/>
        </w:numPr>
        <w:spacing w:after="0"/>
      </w:pPr>
      <w:r w:rsidRPr="00333032">
        <w:t>Mi történik a válaszokkal, hogyan hasznosítják azokat? (Ha szükséges, típusonként részletezve.)</w:t>
      </w:r>
    </w:p>
    <w:p w:rsidR="00384D42" w:rsidRDefault="005474A3" w:rsidP="0025404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2758F2">
      <w:pPr>
        <w:spacing w:before="120" w:after="120" w:line="360" w:lineRule="auto"/>
        <w:ind w:firstLine="539"/>
      </w:pPr>
    </w:p>
    <w:p w:rsidR="00384D42" w:rsidRDefault="00384D42" w:rsidP="00384D42">
      <w:pPr>
        <w:pStyle w:val="Cmsor1"/>
        <w:numPr>
          <w:ilvl w:val="0"/>
          <w:numId w:val="6"/>
        </w:numPr>
        <w:spacing w:before="360" w:after="360"/>
        <w:jc w:val="center"/>
        <w:rPr>
          <w:sz w:val="28"/>
          <w:szCs w:val="28"/>
        </w:rPr>
      </w:pPr>
      <w:bookmarkStart w:id="16" w:name="_Toc289601775"/>
      <w:r w:rsidRPr="00384D42">
        <w:rPr>
          <w:sz w:val="28"/>
          <w:szCs w:val="28"/>
        </w:rPr>
        <w:t>Felhasználói szempontok érvényesülése – szakra vonatkozó kapcsolati formák</w:t>
      </w:r>
      <w:bookmarkEnd w:id="16"/>
    </w:p>
    <w:p w:rsidR="00254045" w:rsidRDefault="00254045" w:rsidP="00384D42"/>
    <w:p w:rsidR="008D1160" w:rsidRPr="00333032" w:rsidRDefault="008D1160" w:rsidP="008D1160">
      <w:pPr>
        <w:suppressAutoHyphens/>
      </w:pPr>
      <w:r w:rsidRPr="00333032">
        <w:t>Milyen módon kezeli a szak a kapcsolatait a következő partnerekkel? Milyen eredményeket ért el ezen a téren az elmúlt időszakban?</w:t>
      </w:r>
    </w:p>
    <w:p w:rsidR="008D1160" w:rsidRPr="00333032" w:rsidRDefault="008D1160" w:rsidP="008D1160">
      <w:pPr>
        <w:suppressAutoHyphens/>
      </w:pPr>
    </w:p>
    <w:p w:rsidR="008D1160" w:rsidRPr="00333032" w:rsidRDefault="008D1160" w:rsidP="008D1160">
      <w:pPr>
        <w:numPr>
          <w:ilvl w:val="0"/>
          <w:numId w:val="13"/>
        </w:numPr>
        <w:suppressAutoHyphens/>
      </w:pPr>
      <w:r w:rsidRPr="00333032">
        <w:t>potenciális hallgatók</w:t>
      </w:r>
      <w:r w:rsidR="007A4AB6">
        <w:t>: a tehetséges alapszakos hallgatóink buzdítása a mesterképzésre, más alapszakos hallgatók informálása reklámanyagokon és nyílt napokon keresztül</w:t>
      </w:r>
    </w:p>
    <w:p w:rsidR="008D1160" w:rsidRPr="00333032" w:rsidRDefault="008D1160" w:rsidP="007A4AB6">
      <w:pPr>
        <w:numPr>
          <w:ilvl w:val="0"/>
          <w:numId w:val="13"/>
        </w:numPr>
        <w:suppressAutoHyphens/>
      </w:pPr>
      <w:r w:rsidRPr="00333032">
        <w:t>hallgatók</w:t>
      </w:r>
      <w:r w:rsidR="007A4AB6">
        <w:t>:</w:t>
      </w:r>
      <w:r w:rsidRPr="00333032">
        <w:t xml:space="preserve"> </w:t>
      </w:r>
      <w:r w:rsidR="007A4AB6">
        <w:t>a</w:t>
      </w:r>
      <w:r w:rsidR="007A4AB6" w:rsidRPr="007A4AB6">
        <w:t xml:space="preserve"> kis hallgatói létszámú mesterképzésben </w:t>
      </w:r>
      <w:r w:rsidR="007A4AB6">
        <w:t xml:space="preserve">a </w:t>
      </w:r>
      <w:r w:rsidR="007A4AB6" w:rsidRPr="007A4AB6">
        <w:t xml:space="preserve">már </w:t>
      </w:r>
      <w:r w:rsidR="007A4AB6">
        <w:t xml:space="preserve">említett, </w:t>
      </w:r>
      <w:r w:rsidR="007A4AB6" w:rsidRPr="007A4AB6">
        <w:t xml:space="preserve">szoros mester–tanítvány </w:t>
      </w:r>
      <w:r w:rsidR="007A4AB6">
        <w:t>kapcsolatok</w:t>
      </w:r>
      <w:r w:rsidR="007A4AB6" w:rsidRPr="007A4AB6">
        <w:t xml:space="preserve"> tudnak kialakulni, ami az oktatás eredményességében jól tükröződik</w:t>
      </w:r>
      <w:r w:rsidR="007A4AB6">
        <w:t xml:space="preserve"> – főként a tanulmányi átlagokban és az OTDK Konferencián való szereplésekben.</w:t>
      </w:r>
    </w:p>
    <w:p w:rsidR="008D1160" w:rsidRPr="00333032" w:rsidRDefault="008D1160" w:rsidP="008D1160">
      <w:pPr>
        <w:numPr>
          <w:ilvl w:val="0"/>
          <w:numId w:val="13"/>
        </w:numPr>
        <w:suppressAutoHyphens/>
      </w:pPr>
      <w:r w:rsidRPr="00333032">
        <w:t>végzettek</w:t>
      </w:r>
      <w:r w:rsidR="007A4AB6">
        <w:t xml:space="preserve">: </w:t>
      </w:r>
      <w:r w:rsidR="005B44CD">
        <w:t>a kis létszámok, továbbá a PhD képzésbe kerülés nagy aránya miatt a kapcsolattartás szinte folyamatos</w:t>
      </w:r>
      <w:r w:rsidR="007A4AB6">
        <w:t>.</w:t>
      </w:r>
    </w:p>
    <w:p w:rsidR="008D1160" w:rsidRPr="00333032" w:rsidRDefault="00763254" w:rsidP="00763254">
      <w:pPr>
        <w:numPr>
          <w:ilvl w:val="0"/>
          <w:numId w:val="13"/>
        </w:numPr>
        <w:suppressAutoHyphens/>
      </w:pPr>
      <w:r>
        <w:t>munkaerőpiac: az ötéves vegyészkép</w:t>
      </w:r>
      <w:r w:rsidR="00FA7523">
        <w:t>zés</w:t>
      </w:r>
      <w:r>
        <w:t xml:space="preserve"> hagyományaira épülő mesterképzés végzős hallgatói a munkaerőpiacon általában jó eséllyel indulhatnak. A munkaerőpiaci kapcsolatok ápolására az egyetem szűkös anyagi helyzete </w:t>
      </w:r>
      <w:r>
        <w:lastRenderedPageBreak/>
        <w:t>mindenképpen kényszeríti a tanszékeket közös kutatási programok kidolgozásának formájában, melyek keretén belül a hallgatók a nyári gyakorlatok során személyes kapcsolatba is kerülhetnek azokkal.</w:t>
      </w:r>
    </w:p>
    <w:p w:rsidR="00384D42" w:rsidRDefault="008D1160" w:rsidP="007A4AB6">
      <w:pPr>
        <w:numPr>
          <w:ilvl w:val="0"/>
          <w:numId w:val="13"/>
        </w:numPr>
        <w:suppressAutoHyphens/>
      </w:pPr>
      <w:r w:rsidRPr="00333032">
        <w:t>más s</w:t>
      </w:r>
      <w:r w:rsidR="007A4AB6">
        <w:t>zakok – itthon és külföldön –: a karon zajló mesterképzésekről az átjárhatóságot biztosítjuk, a társintézeteinkkel a szakmai kapcsolatokat közös kutatási programokkal erősítjük.</w:t>
      </w:r>
    </w:p>
    <w:p w:rsidR="00384D42" w:rsidRPr="00384D42" w:rsidRDefault="00384D42" w:rsidP="00384D42"/>
    <w:p w:rsidR="00384D42" w:rsidRDefault="00384D42" w:rsidP="00384D42">
      <w:pPr>
        <w:pStyle w:val="Cmsor1"/>
        <w:numPr>
          <w:ilvl w:val="0"/>
          <w:numId w:val="6"/>
        </w:numPr>
        <w:spacing w:before="360" w:after="360"/>
        <w:jc w:val="center"/>
        <w:rPr>
          <w:sz w:val="28"/>
          <w:szCs w:val="28"/>
        </w:rPr>
      </w:pPr>
      <w:bookmarkStart w:id="17" w:name="_Toc289601776"/>
      <w:r w:rsidRPr="00384D42">
        <w:rPr>
          <w:sz w:val="28"/>
          <w:szCs w:val="28"/>
        </w:rPr>
        <w:t>Minőségügyi akciók és eredményeik</w:t>
      </w:r>
      <w:r w:rsidRPr="00384D42">
        <w:rPr>
          <w:sz w:val="28"/>
          <w:szCs w:val="28"/>
        </w:rPr>
        <w:tab/>
        <w:t>(korábbi intézkedések és hatásaik)</w:t>
      </w:r>
      <w:bookmarkEnd w:id="17"/>
    </w:p>
    <w:p w:rsidR="00254045" w:rsidRDefault="00254045" w:rsidP="00384D42">
      <w:pPr>
        <w:spacing w:line="360" w:lineRule="auto"/>
        <w:ind w:firstLine="539"/>
        <w:jc w:val="both"/>
      </w:pPr>
    </w:p>
    <w:p w:rsidR="00D162AA" w:rsidRDefault="00254045" w:rsidP="00254045">
      <w:pPr>
        <w:pStyle w:val="Lista"/>
        <w:numPr>
          <w:ilvl w:val="0"/>
          <w:numId w:val="12"/>
        </w:numPr>
        <w:spacing w:after="0"/>
      </w:pPr>
      <w:r w:rsidRPr="00333032">
        <w:t>A szak indítása óta eltelt idő minőségfejlesz</w:t>
      </w:r>
      <w:r w:rsidR="00D162AA">
        <w:t>tési tevékenységének eredményei.</w:t>
      </w:r>
    </w:p>
    <w:p w:rsidR="00254045" w:rsidRPr="00333032" w:rsidRDefault="005B44CD" w:rsidP="00D162AA">
      <w:pPr>
        <w:pStyle w:val="Lista"/>
        <w:numPr>
          <w:ilvl w:val="0"/>
          <w:numId w:val="0"/>
        </w:numPr>
        <w:spacing w:after="0"/>
        <w:ind w:left="720"/>
      </w:pPr>
      <w:r>
        <w:t xml:space="preserve">Két éve bevezettük </w:t>
      </w:r>
      <w:r w:rsidR="00D162AA" w:rsidRPr="00D162AA">
        <w:t>a  keresztfélév</w:t>
      </w:r>
      <w:r>
        <w:t xml:space="preserve">es felvételit, hogy a Kémia alapszakon egy </w:t>
      </w:r>
      <w:r w:rsidR="00C726D7">
        <w:t xml:space="preserve">szemesztert </w:t>
      </w:r>
      <w:r>
        <w:t xml:space="preserve">csúszó, illetve más, </w:t>
      </w:r>
      <w:r w:rsidR="00C726D7">
        <w:t>3,5 éves képzésekről érkező hallgatók is becsatlakozhassanak. Ezt a tárgyak minimális egymásraépülésén keresztül sikerült megvalósítanunk.</w:t>
      </w:r>
      <w:r w:rsidR="00D162AA" w:rsidRPr="00D162AA">
        <w:t xml:space="preserve">  </w:t>
      </w:r>
    </w:p>
    <w:p w:rsidR="00254045" w:rsidRDefault="00254045" w:rsidP="00254045">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D162AA" w:rsidRPr="00333032" w:rsidRDefault="00FA7523" w:rsidP="00D162AA">
      <w:pPr>
        <w:pStyle w:val="Lista"/>
        <w:numPr>
          <w:ilvl w:val="0"/>
          <w:numId w:val="0"/>
        </w:numPr>
        <w:spacing w:after="0"/>
        <w:ind w:left="720"/>
        <w:jc w:val="left"/>
      </w:pPr>
      <w:r>
        <w:t>Az évenként készülő önértékelés biztosítja a célok megvalósulásának ellenőrzését. Mivel a szakot cs</w:t>
      </w:r>
      <w:r w:rsidR="00C726D7">
        <w:t>ak néhány</w:t>
      </w:r>
      <w:r>
        <w:t xml:space="preserve"> éve indítottuk, a tanterv és a tárgyak tematikája folyamatos fejlesztés alatt áll.</w:t>
      </w:r>
    </w:p>
    <w:p w:rsidR="00254045" w:rsidRPr="00333032" w:rsidRDefault="00254045" w:rsidP="00254045">
      <w:pPr>
        <w:pStyle w:val="Lista"/>
        <w:numPr>
          <w:ilvl w:val="0"/>
          <w:numId w:val="12"/>
        </w:numPr>
        <w:spacing w:after="0"/>
      </w:pPr>
      <w:r w:rsidRPr="00333032">
        <w:t>Egyéb megjegyzések (pl. külső értékelések, minőségi vizsgálatok).</w:t>
      </w:r>
    </w:p>
    <w:p w:rsidR="00254045" w:rsidRDefault="00254045" w:rsidP="00384D42">
      <w:pPr>
        <w:spacing w:line="360" w:lineRule="auto"/>
        <w:ind w:firstLine="539"/>
        <w:jc w:val="both"/>
      </w:pPr>
    </w:p>
    <w:p w:rsidR="00384D42" w:rsidRDefault="00384D42" w:rsidP="00384D42"/>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777"/>
      <w:r w:rsidRPr="00384D42">
        <w:rPr>
          <w:sz w:val="28"/>
          <w:szCs w:val="28"/>
        </w:rPr>
        <w:t>C-SWOT elemzés, Intézkedési javaslatok</w:t>
      </w:r>
      <w:bookmarkEnd w:id="18"/>
    </w:p>
    <w:p w:rsidR="00384D42" w:rsidRDefault="00384D42"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597"/>
      </w:tblGrid>
      <w:tr w:rsidR="00752A80">
        <w:tc>
          <w:tcPr>
            <w:tcW w:w="4840" w:type="dxa"/>
            <w:shd w:val="clear" w:color="auto" w:fill="auto"/>
          </w:tcPr>
          <w:p w:rsidR="00752A80" w:rsidRDefault="00752A80" w:rsidP="001D4F0A">
            <w:pPr>
              <w:jc w:val="both"/>
            </w:pPr>
            <w:r>
              <w:t>ERŐSSÉGEK</w:t>
            </w:r>
          </w:p>
        </w:tc>
        <w:tc>
          <w:tcPr>
            <w:tcW w:w="4840" w:type="dxa"/>
            <w:shd w:val="clear" w:color="auto" w:fill="auto"/>
          </w:tcPr>
          <w:p w:rsidR="00752A80" w:rsidRDefault="00752A80" w:rsidP="001D4F0A">
            <w:pPr>
              <w:jc w:val="both"/>
            </w:pPr>
            <w:r>
              <w:t>GYENGESÉGEK</w:t>
            </w:r>
          </w:p>
        </w:tc>
      </w:tr>
      <w:tr w:rsidR="00752A80">
        <w:tc>
          <w:tcPr>
            <w:tcW w:w="4840" w:type="dxa"/>
            <w:shd w:val="clear" w:color="auto" w:fill="auto"/>
          </w:tcPr>
          <w:p w:rsidR="00FE4ACA" w:rsidRDefault="00FE4ACA" w:rsidP="001D4F0A">
            <w:pPr>
              <w:numPr>
                <w:ilvl w:val="0"/>
                <w:numId w:val="18"/>
              </w:numPr>
              <w:jc w:val="both"/>
            </w:pPr>
            <w:r>
              <w:t>Magas szintű tananyag</w:t>
            </w:r>
          </w:p>
          <w:p w:rsidR="00752A80" w:rsidRDefault="00752A80" w:rsidP="001D4F0A">
            <w:pPr>
              <w:numPr>
                <w:ilvl w:val="0"/>
                <w:numId w:val="18"/>
              </w:numPr>
              <w:jc w:val="both"/>
            </w:pPr>
            <w:r>
              <w:t>Kiváló tudományos háttérrel rendelkező</w:t>
            </w:r>
            <w:r w:rsidR="00FE4ACA">
              <w:t>, túlnyomó többségében minősített</w:t>
            </w:r>
            <w:r>
              <w:t xml:space="preserve"> oktatói gárda</w:t>
            </w:r>
          </w:p>
          <w:p w:rsidR="00752A80" w:rsidRDefault="00752A80" w:rsidP="001D4F0A">
            <w:pPr>
              <w:numPr>
                <w:ilvl w:val="0"/>
                <w:numId w:val="18"/>
              </w:numPr>
              <w:jc w:val="both"/>
            </w:pPr>
            <w:r>
              <w:t>Kiterjedt szakmai kapcsolatok hazai/külföldi intézményekkel</w:t>
            </w:r>
          </w:p>
          <w:p w:rsidR="00752A80" w:rsidRDefault="00752A80" w:rsidP="001D4F0A">
            <w:pPr>
              <w:numPr>
                <w:ilvl w:val="0"/>
                <w:numId w:val="18"/>
              </w:numPr>
              <w:jc w:val="both"/>
            </w:pPr>
            <w:r>
              <w:t>Részvétel sikeres pályázatokban</w:t>
            </w:r>
          </w:p>
        </w:tc>
        <w:tc>
          <w:tcPr>
            <w:tcW w:w="4840" w:type="dxa"/>
            <w:shd w:val="clear" w:color="auto" w:fill="auto"/>
          </w:tcPr>
          <w:p w:rsidR="00752A80" w:rsidRDefault="00752A80" w:rsidP="001D4F0A">
            <w:pPr>
              <w:numPr>
                <w:ilvl w:val="0"/>
                <w:numId w:val="18"/>
              </w:numPr>
              <w:jc w:val="both"/>
            </w:pPr>
            <w:r>
              <w:t>Oktatói gárda átlagos életkora magas</w:t>
            </w:r>
            <w:r w:rsidR="00D55435">
              <w:t>, oktatói létszám alacsony</w:t>
            </w:r>
          </w:p>
          <w:p w:rsidR="00752A80" w:rsidRDefault="00752A80" w:rsidP="001D4F0A">
            <w:pPr>
              <w:numPr>
                <w:ilvl w:val="0"/>
                <w:numId w:val="18"/>
              </w:numPr>
              <w:jc w:val="both"/>
            </w:pPr>
            <w:r>
              <w:t>Az alapszakon végzők száma és ezáltal a mesterszakra jelentkezők száma alacsony</w:t>
            </w:r>
          </w:p>
          <w:p w:rsidR="00752A80" w:rsidRDefault="00752A80" w:rsidP="001D4F0A">
            <w:pPr>
              <w:numPr>
                <w:ilvl w:val="0"/>
                <w:numId w:val="18"/>
              </w:numPr>
              <w:jc w:val="both"/>
            </w:pPr>
            <w:r>
              <w:t>Műszerpark fejlesztésre szorul</w:t>
            </w:r>
          </w:p>
          <w:p w:rsidR="00C726D7" w:rsidRDefault="00C726D7" w:rsidP="001D4F0A">
            <w:pPr>
              <w:numPr>
                <w:ilvl w:val="0"/>
                <w:numId w:val="18"/>
              </w:numPr>
              <w:jc w:val="both"/>
            </w:pPr>
            <w:r>
              <w:t>Az elméleti kémiai tárgyak túl nagy aránya</w:t>
            </w:r>
          </w:p>
        </w:tc>
      </w:tr>
      <w:tr w:rsidR="00752A80">
        <w:tc>
          <w:tcPr>
            <w:tcW w:w="4840" w:type="dxa"/>
            <w:shd w:val="clear" w:color="auto" w:fill="auto"/>
          </w:tcPr>
          <w:p w:rsidR="00752A80" w:rsidRDefault="00752A80" w:rsidP="001D4F0A">
            <w:pPr>
              <w:jc w:val="both"/>
            </w:pPr>
            <w:r>
              <w:t>LEHETŐSÉGEK</w:t>
            </w:r>
          </w:p>
        </w:tc>
        <w:tc>
          <w:tcPr>
            <w:tcW w:w="4840" w:type="dxa"/>
            <w:shd w:val="clear" w:color="auto" w:fill="auto"/>
          </w:tcPr>
          <w:p w:rsidR="00752A80" w:rsidRDefault="00752A80" w:rsidP="001D4F0A">
            <w:pPr>
              <w:jc w:val="both"/>
            </w:pPr>
            <w:r>
              <w:t>FENYEGETETTSÉGEK</w:t>
            </w:r>
          </w:p>
        </w:tc>
      </w:tr>
      <w:tr w:rsidR="00752A80">
        <w:tc>
          <w:tcPr>
            <w:tcW w:w="4840" w:type="dxa"/>
            <w:shd w:val="clear" w:color="auto" w:fill="auto"/>
          </w:tcPr>
          <w:p w:rsidR="00752A80" w:rsidRDefault="00752A80" w:rsidP="001D4F0A">
            <w:pPr>
              <w:numPr>
                <w:ilvl w:val="0"/>
                <w:numId w:val="19"/>
              </w:numPr>
              <w:jc w:val="both"/>
            </w:pPr>
            <w:r>
              <w:t>Természettudományok iránti érdeklődés a média figyelmének erősödésével növekedhet</w:t>
            </w:r>
          </w:p>
        </w:tc>
        <w:tc>
          <w:tcPr>
            <w:tcW w:w="4840" w:type="dxa"/>
            <w:shd w:val="clear" w:color="auto" w:fill="auto"/>
          </w:tcPr>
          <w:p w:rsidR="00752A80" w:rsidRDefault="00752A80" w:rsidP="001D4F0A">
            <w:pPr>
              <w:numPr>
                <w:ilvl w:val="0"/>
                <w:numId w:val="18"/>
              </w:numPr>
              <w:jc w:val="both"/>
            </w:pPr>
            <w:r>
              <w:t>Oktatói utánpótlás a nem versenyképes fizetések miatt egyre nehezebben megoldható</w:t>
            </w:r>
          </w:p>
          <w:p w:rsidR="00752A80" w:rsidRDefault="00752A80" w:rsidP="001D4F0A">
            <w:pPr>
              <w:numPr>
                <w:ilvl w:val="0"/>
                <w:numId w:val="18"/>
              </w:numPr>
              <w:jc w:val="both"/>
            </w:pPr>
            <w:r>
              <w:t>Nagynevű, vegyészképzéssel foglalkozó intézményekben végzett alapszakos hallgatók felvétele szinte lehetetlen</w:t>
            </w:r>
          </w:p>
          <w:p w:rsidR="00FE4ACA" w:rsidRDefault="00FE4ACA" w:rsidP="001D4F0A">
            <w:pPr>
              <w:numPr>
                <w:ilvl w:val="0"/>
                <w:numId w:val="18"/>
              </w:numPr>
              <w:jc w:val="both"/>
            </w:pPr>
            <w:r>
              <w:t xml:space="preserve">Dunántúlon </w:t>
            </w:r>
            <w:r w:rsidR="00AE03FF">
              <w:t xml:space="preserve">egyre erősebb </w:t>
            </w:r>
            <w:r>
              <w:lastRenderedPageBreak/>
              <w:t>versenytárs a Pécsi Tudományegyetem</w:t>
            </w:r>
          </w:p>
        </w:tc>
      </w:tr>
    </w:tbl>
    <w:p w:rsidR="00752A80" w:rsidRDefault="00752A80" w:rsidP="005214D9">
      <w:pPr>
        <w:jc w:val="both"/>
      </w:pPr>
    </w:p>
    <w:p w:rsidR="00FE4ACA" w:rsidRDefault="00FE4ACA" w:rsidP="005214D9">
      <w:pPr>
        <w:jc w:val="both"/>
      </w:pPr>
    </w:p>
    <w:p w:rsidR="00FE4ACA" w:rsidRDefault="00FE4ACA" w:rsidP="005214D9">
      <w:pPr>
        <w:jc w:val="both"/>
      </w:pPr>
    </w:p>
    <w:p w:rsidR="00FE4ACA" w:rsidRDefault="00FE4ACA"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416"/>
        <w:gridCol w:w="857"/>
        <w:gridCol w:w="857"/>
        <w:gridCol w:w="857"/>
        <w:gridCol w:w="857"/>
        <w:gridCol w:w="869"/>
        <w:gridCol w:w="915"/>
        <w:gridCol w:w="864"/>
      </w:tblGrid>
      <w:tr w:rsidR="00180185">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3708" w:type="dxa"/>
            <w:gridSpan w:val="4"/>
            <w:shd w:val="clear" w:color="auto" w:fill="auto"/>
          </w:tcPr>
          <w:p w:rsidR="00180185" w:rsidRDefault="00180185" w:rsidP="001D4F0A">
            <w:pPr>
              <w:jc w:val="both"/>
            </w:pPr>
            <w:r>
              <w:t>ERŐSSÉGEK</w:t>
            </w:r>
          </w:p>
        </w:tc>
        <w:tc>
          <w:tcPr>
            <w:tcW w:w="2781" w:type="dxa"/>
            <w:gridSpan w:val="3"/>
            <w:shd w:val="clear" w:color="auto" w:fill="auto"/>
          </w:tcPr>
          <w:p w:rsidR="00180185" w:rsidRDefault="00180185" w:rsidP="001D4F0A">
            <w:pPr>
              <w:jc w:val="both"/>
            </w:pPr>
            <w:r>
              <w:t>GYENGESÉGEK</w:t>
            </w:r>
          </w:p>
        </w:tc>
      </w:tr>
      <w:tr w:rsidR="00180185">
        <w:trPr>
          <w:cantSplit/>
          <w:trHeight w:val="2485"/>
        </w:trPr>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927" w:type="dxa"/>
            <w:shd w:val="clear" w:color="auto" w:fill="auto"/>
            <w:textDirection w:val="tbRl"/>
          </w:tcPr>
          <w:p w:rsidR="00180185" w:rsidRDefault="00180185" w:rsidP="001D4F0A">
            <w:pPr>
              <w:ind w:left="113" w:right="113"/>
              <w:jc w:val="both"/>
            </w:pPr>
            <w:r>
              <w:t>Magas szintű tananyag</w:t>
            </w:r>
          </w:p>
          <w:p w:rsidR="00180185" w:rsidRDefault="00180185" w:rsidP="001D4F0A">
            <w:pPr>
              <w:ind w:left="113" w:right="113"/>
              <w:jc w:val="both"/>
            </w:pPr>
          </w:p>
        </w:tc>
        <w:tc>
          <w:tcPr>
            <w:tcW w:w="927" w:type="dxa"/>
            <w:shd w:val="clear" w:color="auto" w:fill="auto"/>
            <w:textDirection w:val="tbRl"/>
          </w:tcPr>
          <w:p w:rsidR="00180185" w:rsidRDefault="00180185" w:rsidP="001D4F0A">
            <w:pPr>
              <w:ind w:left="113" w:right="113"/>
              <w:jc w:val="both"/>
            </w:pPr>
            <w:r>
              <w:t>Kiváló tudományos háttérrel rendelkező, túlnyomó többségében minősített oktatói gárda</w:t>
            </w:r>
          </w:p>
        </w:tc>
        <w:tc>
          <w:tcPr>
            <w:tcW w:w="927" w:type="dxa"/>
            <w:shd w:val="clear" w:color="auto" w:fill="auto"/>
            <w:textDirection w:val="tbRl"/>
          </w:tcPr>
          <w:p w:rsidR="00180185" w:rsidRDefault="00180185" w:rsidP="001D4F0A">
            <w:pPr>
              <w:ind w:left="113" w:right="113"/>
              <w:jc w:val="both"/>
            </w:pPr>
            <w:r>
              <w:t>Kiterjedt szakmai kapcsolatok hazai/külföldi intézményekkel</w:t>
            </w:r>
          </w:p>
        </w:tc>
        <w:tc>
          <w:tcPr>
            <w:tcW w:w="927" w:type="dxa"/>
            <w:shd w:val="clear" w:color="auto" w:fill="auto"/>
            <w:textDirection w:val="tbRl"/>
          </w:tcPr>
          <w:p w:rsidR="00180185" w:rsidRDefault="00180185" w:rsidP="001D4F0A">
            <w:pPr>
              <w:ind w:left="113" w:right="113"/>
              <w:jc w:val="both"/>
            </w:pPr>
            <w:r>
              <w:t>Részvétel sikeres pályázatokban</w:t>
            </w:r>
          </w:p>
        </w:tc>
        <w:tc>
          <w:tcPr>
            <w:tcW w:w="927" w:type="dxa"/>
            <w:shd w:val="clear" w:color="auto" w:fill="auto"/>
            <w:textDirection w:val="tbRl"/>
          </w:tcPr>
          <w:p w:rsidR="00180185" w:rsidRDefault="00180185" w:rsidP="001D4F0A">
            <w:pPr>
              <w:ind w:left="113" w:right="113"/>
              <w:jc w:val="both"/>
            </w:pPr>
            <w:r>
              <w:t>Oktatói gárda átlagos életkora magas</w:t>
            </w:r>
            <w:r w:rsidR="009162B1">
              <w:t>, oktatói létszám alacsony</w:t>
            </w:r>
          </w:p>
        </w:tc>
        <w:tc>
          <w:tcPr>
            <w:tcW w:w="927" w:type="dxa"/>
            <w:shd w:val="clear" w:color="auto" w:fill="auto"/>
            <w:textDirection w:val="tbRl"/>
          </w:tcPr>
          <w:p w:rsidR="00AE03FF" w:rsidRDefault="00AE03FF" w:rsidP="001D4F0A">
            <w:pPr>
              <w:ind w:left="113"/>
              <w:jc w:val="both"/>
            </w:pPr>
            <w:r>
              <w:t xml:space="preserve"> Az alapszakon végzők száma és ezáltal a mesterszakra jelentkezők száma alacsony</w:t>
            </w:r>
          </w:p>
          <w:p w:rsidR="00180185" w:rsidRPr="0083184B" w:rsidRDefault="00180185" w:rsidP="001D4F0A">
            <w:pPr>
              <w:ind w:left="113" w:right="113"/>
              <w:jc w:val="both"/>
            </w:pPr>
            <w:r w:rsidRPr="0083184B">
              <w:t>alacsonyak</w:t>
            </w:r>
          </w:p>
        </w:tc>
        <w:tc>
          <w:tcPr>
            <w:tcW w:w="927" w:type="dxa"/>
            <w:shd w:val="clear" w:color="auto" w:fill="auto"/>
            <w:textDirection w:val="tbRl"/>
          </w:tcPr>
          <w:p w:rsidR="00180185" w:rsidRDefault="00180185" w:rsidP="001D4F0A">
            <w:pPr>
              <w:ind w:left="113" w:right="113"/>
              <w:jc w:val="both"/>
            </w:pPr>
            <w:r>
              <w:t>Műszerpark fejlesztésre szorul</w:t>
            </w:r>
          </w:p>
        </w:tc>
      </w:tr>
      <w:tr w:rsidR="00180185">
        <w:tc>
          <w:tcPr>
            <w:tcW w:w="851" w:type="dxa"/>
            <w:vMerge w:val="restart"/>
            <w:shd w:val="clear" w:color="auto" w:fill="auto"/>
            <w:textDirection w:val="tbRl"/>
          </w:tcPr>
          <w:p w:rsidR="00180185" w:rsidRDefault="00180185" w:rsidP="001D4F0A">
            <w:pPr>
              <w:ind w:left="113" w:right="113"/>
              <w:jc w:val="both"/>
            </w:pPr>
            <w:r>
              <w:t>LEHETŐSÉGEK</w:t>
            </w:r>
          </w:p>
        </w:tc>
        <w:tc>
          <w:tcPr>
            <w:tcW w:w="2416" w:type="dxa"/>
            <w:shd w:val="clear" w:color="auto" w:fill="auto"/>
          </w:tcPr>
          <w:p w:rsidR="00180185" w:rsidRDefault="00180185" w:rsidP="001D4F0A">
            <w:pPr>
              <w:jc w:val="both"/>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Természettudományok iránti érdeklődés a média figyelmének erősödésével növekedhet</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r>
      <w:tr w:rsidR="00180185">
        <w:tc>
          <w:tcPr>
            <w:tcW w:w="851" w:type="dxa"/>
            <w:vMerge w:val="restart"/>
            <w:shd w:val="clear" w:color="auto" w:fill="auto"/>
            <w:textDirection w:val="tbRl"/>
          </w:tcPr>
          <w:p w:rsidR="00180185" w:rsidRDefault="00180185" w:rsidP="001D4F0A">
            <w:pPr>
              <w:ind w:left="113" w:right="113"/>
              <w:jc w:val="both"/>
            </w:pPr>
            <w:r>
              <w:t>FENYEGETETTSÉGEK</w:t>
            </w:r>
          </w:p>
        </w:tc>
        <w:tc>
          <w:tcPr>
            <w:tcW w:w="2416" w:type="dxa"/>
            <w:shd w:val="clear" w:color="auto" w:fill="auto"/>
          </w:tcPr>
          <w:p w:rsidR="00180185" w:rsidRDefault="00180185" w:rsidP="001D4F0A">
            <w:pPr>
              <w:jc w:val="both"/>
            </w:pPr>
            <w:r>
              <w:t>Oktatói utánpótlás a nem versenyképes fizetések miatt egyre nehezebben megoldható</w:t>
            </w:r>
          </w:p>
        </w:tc>
        <w:tc>
          <w:tcPr>
            <w:tcW w:w="927" w:type="dxa"/>
            <w:shd w:val="clear" w:color="auto" w:fill="auto"/>
            <w:vAlign w:val="center"/>
          </w:tcPr>
          <w:p w:rsidR="00180185" w:rsidRDefault="00810BB4" w:rsidP="001D4F0A">
            <w:pPr>
              <w:jc w:val="center"/>
            </w:pPr>
            <w:r>
              <w:t>-4</w:t>
            </w:r>
          </w:p>
        </w:tc>
        <w:tc>
          <w:tcPr>
            <w:tcW w:w="927" w:type="dxa"/>
            <w:shd w:val="clear" w:color="auto" w:fill="auto"/>
            <w:vAlign w:val="center"/>
          </w:tcPr>
          <w:p w:rsidR="00180185" w:rsidRDefault="00810BB4" w:rsidP="001D4F0A">
            <w:pPr>
              <w:jc w:val="center"/>
            </w:pPr>
            <w:r>
              <w:t>-6</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0BB4" w:rsidP="001D4F0A">
            <w:pPr>
              <w:jc w:val="center"/>
            </w:pPr>
            <w:r>
              <w:t>-</w:t>
            </w:r>
            <w:r w:rsidR="00180185">
              <w:t>1</w:t>
            </w:r>
          </w:p>
        </w:tc>
        <w:tc>
          <w:tcPr>
            <w:tcW w:w="927" w:type="dxa"/>
            <w:shd w:val="clear" w:color="auto" w:fill="auto"/>
            <w:vAlign w:val="center"/>
          </w:tcPr>
          <w:p w:rsidR="00180185" w:rsidRDefault="00810BB4" w:rsidP="001D4F0A">
            <w:pPr>
              <w:jc w:val="center"/>
            </w:pPr>
            <w:r>
              <w:t>7</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AE03FF" w:rsidP="001D4F0A">
            <w:pPr>
              <w:jc w:val="both"/>
            </w:pPr>
            <w:r>
              <w:t>Nagynevű, vegyészképzéssel foglalkozó intézményekben végzett alapszakos hallgatók felvétele szinte lehetetlen</w:t>
            </w:r>
          </w:p>
        </w:tc>
        <w:tc>
          <w:tcPr>
            <w:tcW w:w="927" w:type="dxa"/>
            <w:shd w:val="clear" w:color="auto" w:fill="auto"/>
            <w:vAlign w:val="center"/>
          </w:tcPr>
          <w:p w:rsidR="00180185" w:rsidRDefault="00180185" w:rsidP="001D4F0A">
            <w:pPr>
              <w:jc w:val="center"/>
            </w:pPr>
            <w:r>
              <w:t>3</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-3</w:t>
            </w: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A Dunántúlon egyre erősebb versenytárs a Pécsi Tudományegyetem</w:t>
            </w: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-6</w:t>
            </w:r>
          </w:p>
        </w:tc>
      </w:tr>
    </w:tbl>
    <w:p w:rsidR="00FE4ACA" w:rsidRDefault="00FE4ACA" w:rsidP="005214D9">
      <w:pPr>
        <w:jc w:val="both"/>
      </w:pPr>
    </w:p>
    <w:p w:rsidR="00D05B43" w:rsidRDefault="00D05B43" w:rsidP="00384D42"/>
    <w:p w:rsidR="008D1160" w:rsidRDefault="008D1160" w:rsidP="00384D42"/>
    <w:p w:rsidR="008D1160" w:rsidRDefault="008D1160" w:rsidP="00384D42">
      <w:r>
        <w:t>Intézkedési javaslatok:</w:t>
      </w:r>
    </w:p>
    <w:bookmarkEnd w:id="10"/>
    <w:bookmarkEnd w:id="11"/>
    <w:bookmarkEnd w:id="12"/>
    <w:p w:rsidR="00DD7615" w:rsidRDefault="007A1660" w:rsidP="00712E32">
      <w:pPr>
        <w:spacing w:before="120" w:after="120" w:line="360" w:lineRule="auto"/>
        <w:ind w:firstLine="539"/>
        <w:jc w:val="both"/>
      </w:pPr>
      <w:r>
        <w:t xml:space="preserve">Bár továbbra is úgy látjuk, hogy más egyetemen alapszakot végzett hallgatók beiskolázása nehézségekbe fog ütközni, érdemes nagyobb gondot fordítani a propagandára. </w:t>
      </w:r>
      <w:r w:rsidR="0068202B">
        <w:t xml:space="preserve">Ebből a szempontból gondot okoz az oktatói gárda nagy oktatási és projekt-terhelése, ilyen típusú munkára alig jut idő. </w:t>
      </w:r>
    </w:p>
    <w:p w:rsidR="00172A43" w:rsidRDefault="007A1660" w:rsidP="00712E32">
      <w:pPr>
        <w:spacing w:before="120" w:after="120" w:line="360" w:lineRule="auto"/>
        <w:ind w:firstLine="539"/>
        <w:jc w:val="both"/>
      </w:pPr>
      <w:r>
        <w:lastRenderedPageBreak/>
        <w:t xml:space="preserve">Örvendetes és jelzésértékű, hogy a képzésbe eddig </w:t>
      </w:r>
      <w:r w:rsidR="00EC2B12">
        <w:t>több</w:t>
      </w:r>
      <w:r w:rsidRPr="0092496E">
        <w:t xml:space="preserve"> más intézményben</w:t>
      </w:r>
      <w:r w:rsidR="009162B1">
        <w:t xml:space="preserve"> </w:t>
      </w:r>
      <w:r>
        <w:t>alapszakot</w:t>
      </w:r>
      <w:r w:rsidR="00C726D7">
        <w:t xml:space="preserve"> végzett hallgató is belépett</w:t>
      </w:r>
      <w:r>
        <w:t xml:space="preserve">. </w:t>
      </w:r>
      <w:r w:rsidR="0068202B">
        <w:t>Igaz, az elmúlt év tapasztalatai azt mutatják, hogy ilyen esetekben a szak teljesítése gondot okozhat.</w:t>
      </w:r>
      <w:r>
        <w:t xml:space="preserve"> A</w:t>
      </w:r>
      <w:r w:rsidR="00C04706">
        <w:t>lapszakos hallgató</w:t>
      </w:r>
      <w:r>
        <w:t>in</w:t>
      </w:r>
      <w:r w:rsidR="00C04706">
        <w:t xml:space="preserve">k körében </w:t>
      </w:r>
      <w:r>
        <w:t xml:space="preserve">viszont mindenképpen </w:t>
      </w:r>
      <w:r w:rsidR="00C04706">
        <w:t xml:space="preserve">csökkenteni kell a lemorzsolódást, hiszen elsősorban </w:t>
      </w:r>
      <w:r>
        <w:t xml:space="preserve">továbbra is </w:t>
      </w:r>
      <w:r w:rsidR="00C04706">
        <w:t>saját hallgatóinkra támaszkodhatunk a felvételnél.</w:t>
      </w:r>
      <w:r w:rsidR="00172A43">
        <w:t xml:space="preserve"> </w:t>
      </w:r>
      <w:r w:rsidR="004E3D83">
        <w:t>Azonban azt is meg kell jegyezni, hogy több, alapszakot végzett hallgatónk más egyetemek vegyész mesterszakát</w:t>
      </w:r>
      <w:r w:rsidR="00172A43">
        <w:t xml:space="preserve"> </w:t>
      </w:r>
      <w:r w:rsidR="004E3D83">
        <w:t>választotta elsősorban az elméleti kémiai tárgyaink nagy súlya miatt.</w:t>
      </w:r>
      <w:r w:rsidR="00C618E6">
        <w:t xml:space="preserve"> </w:t>
      </w:r>
      <w:r w:rsidR="0068202B">
        <w:t>A jelenlegi tantervet korrigáltuk, a kötelezően választható tárgyak között a nagy népszerűségnek örvendő gyógyszerkémiai vonatkozásúakat igyekszünk erősíteni, hiszen elvándorló hallgatóink elsősorban ilyen típusú szakokat keresnek.</w:t>
      </w:r>
      <w:r w:rsidR="000367BA">
        <w:t xml:space="preserve"> </w:t>
      </w:r>
      <w:r w:rsidR="00C618E6">
        <w:t>Fontos lenne a hallgatók számára vonzó kötelezően választható tárgyak indítása, a kis oktatói kapacitás ezt megnehezíti.</w:t>
      </w:r>
      <w:r w:rsidR="0073005C">
        <w:t xml:space="preserve"> Az oktatói utánpótlást meg kell oldani.</w:t>
      </w:r>
    </w:p>
    <w:p w:rsidR="003A5E47" w:rsidRDefault="00172A43" w:rsidP="00712E32">
      <w:pPr>
        <w:spacing w:before="120" w:after="120" w:line="360" w:lineRule="auto"/>
        <w:ind w:firstLine="539"/>
        <w:jc w:val="both"/>
      </w:pPr>
      <w:r>
        <w:t xml:space="preserve"> </w:t>
      </w:r>
    </w:p>
    <w:p w:rsidR="001672C4" w:rsidRDefault="001672C4"/>
    <w:sectPr w:rsidR="001672C4" w:rsidSect="00012264">
      <w:pgSz w:w="11907" w:h="16839" w:code="9"/>
      <w:pgMar w:top="1259" w:right="1418" w:bottom="1106" w:left="1418"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14" w:rsidRDefault="00202D14">
      <w:r>
        <w:separator/>
      </w:r>
    </w:p>
  </w:endnote>
  <w:endnote w:type="continuationSeparator" w:id="0">
    <w:p w:rsidR="00202D14" w:rsidRDefault="0020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38"/>
      <w:gridCol w:w="3437"/>
    </w:tblGrid>
    <w:tr w:rsidR="008575CE" w:rsidRPr="001D4F0A">
      <w:tc>
        <w:tcPr>
          <w:tcW w:w="10580" w:type="dxa"/>
          <w:gridSpan w:val="3"/>
          <w:shd w:val="clear" w:color="auto" w:fill="auto"/>
        </w:tcPr>
        <w:p w:rsidR="008575CE" w:rsidRPr="001D4F0A" w:rsidRDefault="008575CE">
          <w:pPr>
            <w:pStyle w:val="llb"/>
            <w:rPr>
              <w:i/>
              <w:iCs/>
              <w:sz w:val="20"/>
              <w:szCs w:val="20"/>
            </w:rPr>
          </w:pPr>
        </w:p>
      </w:tc>
    </w:tr>
    <w:tr w:rsidR="008575CE" w:rsidRPr="001D4F0A">
      <w:tc>
        <w:tcPr>
          <w:tcW w:w="3526" w:type="dxa"/>
          <w:shd w:val="clear" w:color="auto" w:fill="auto"/>
        </w:tcPr>
        <w:p w:rsidR="008575CE" w:rsidRPr="001D4F0A" w:rsidRDefault="008575CE" w:rsidP="003A5E47">
          <w:pPr>
            <w:pStyle w:val="llb"/>
            <w:rPr>
              <w:i/>
              <w:iCs/>
              <w:sz w:val="20"/>
              <w:szCs w:val="20"/>
            </w:rPr>
          </w:pPr>
          <w:r w:rsidRPr="001D4F0A">
            <w:rPr>
              <w:i/>
              <w:iCs/>
              <w:sz w:val="20"/>
              <w:szCs w:val="20"/>
            </w:rPr>
            <w:t>A kiadásért felelős:</w:t>
          </w:r>
        </w:p>
        <w:p w:rsidR="008575CE" w:rsidRPr="001D4F0A" w:rsidRDefault="008575CE" w:rsidP="003A5E47">
          <w:pPr>
            <w:pStyle w:val="llb"/>
            <w:rPr>
              <w:i/>
              <w:iCs/>
              <w:sz w:val="20"/>
              <w:szCs w:val="20"/>
            </w:rPr>
          </w:pPr>
          <w:r w:rsidRPr="001D4F0A">
            <w:rPr>
              <w:i/>
              <w:iCs/>
              <w:sz w:val="20"/>
              <w:szCs w:val="20"/>
            </w:rPr>
            <w:t>Skodáné Dr. Földes Rita</w:t>
          </w:r>
        </w:p>
      </w:tc>
      <w:tc>
        <w:tcPr>
          <w:tcW w:w="3527" w:type="dxa"/>
          <w:shd w:val="clear" w:color="auto" w:fill="auto"/>
          <w:vAlign w:val="center"/>
        </w:tcPr>
        <w:p w:rsidR="008575CE" w:rsidRPr="001D4F0A" w:rsidRDefault="008575CE" w:rsidP="001D4F0A">
          <w:pPr>
            <w:pStyle w:val="llb"/>
            <w:jc w:val="center"/>
            <w:rPr>
              <w:i/>
              <w:iCs/>
              <w:sz w:val="20"/>
              <w:szCs w:val="20"/>
            </w:rPr>
          </w:pPr>
          <w:r w:rsidRPr="001D4F0A">
            <w:rPr>
              <w:rStyle w:val="Oldalszm"/>
              <w:i/>
              <w:iCs/>
              <w:sz w:val="20"/>
              <w:szCs w:val="20"/>
            </w:rPr>
            <w:fldChar w:fldCharType="begin"/>
          </w:r>
          <w:r w:rsidRPr="001D4F0A">
            <w:rPr>
              <w:rStyle w:val="Oldalszm"/>
              <w:i/>
              <w:iCs/>
              <w:sz w:val="20"/>
              <w:szCs w:val="20"/>
            </w:rPr>
            <w:instrText xml:space="preserve"> PAGE </w:instrText>
          </w:r>
          <w:r w:rsidRPr="001D4F0A">
            <w:rPr>
              <w:rStyle w:val="Oldalszm"/>
              <w:i/>
              <w:iCs/>
              <w:sz w:val="20"/>
              <w:szCs w:val="20"/>
            </w:rPr>
            <w:fldChar w:fldCharType="separate"/>
          </w:r>
          <w:r w:rsidR="00DA7CA3">
            <w:rPr>
              <w:rStyle w:val="Oldalszm"/>
              <w:i/>
              <w:iCs/>
              <w:noProof/>
              <w:sz w:val="20"/>
              <w:szCs w:val="20"/>
            </w:rPr>
            <w:t>2</w:t>
          </w:r>
          <w:r w:rsidRPr="001D4F0A">
            <w:rPr>
              <w:rStyle w:val="Oldalszm"/>
              <w:i/>
              <w:iCs/>
              <w:sz w:val="20"/>
              <w:szCs w:val="20"/>
            </w:rPr>
            <w:fldChar w:fldCharType="end"/>
          </w:r>
          <w:r w:rsidRPr="001D4F0A">
            <w:rPr>
              <w:rStyle w:val="Oldalszm"/>
              <w:i/>
              <w:iCs/>
              <w:sz w:val="20"/>
              <w:szCs w:val="20"/>
            </w:rPr>
            <w:t>/</w:t>
          </w:r>
          <w:r w:rsidRPr="001D4F0A">
            <w:rPr>
              <w:rStyle w:val="Oldalszm"/>
              <w:i/>
              <w:iCs/>
              <w:sz w:val="20"/>
              <w:szCs w:val="20"/>
            </w:rPr>
            <w:fldChar w:fldCharType="begin"/>
          </w:r>
          <w:r w:rsidRPr="001D4F0A">
            <w:rPr>
              <w:rStyle w:val="Oldalszm"/>
              <w:i/>
              <w:iCs/>
              <w:sz w:val="20"/>
              <w:szCs w:val="20"/>
            </w:rPr>
            <w:instrText xml:space="preserve"> NUMPAGES </w:instrText>
          </w:r>
          <w:r w:rsidRPr="001D4F0A">
            <w:rPr>
              <w:rStyle w:val="Oldalszm"/>
              <w:i/>
              <w:iCs/>
              <w:sz w:val="20"/>
              <w:szCs w:val="20"/>
            </w:rPr>
            <w:fldChar w:fldCharType="separate"/>
          </w:r>
          <w:r w:rsidR="00DA7CA3">
            <w:rPr>
              <w:rStyle w:val="Oldalszm"/>
              <w:i/>
              <w:iCs/>
              <w:noProof/>
              <w:sz w:val="20"/>
              <w:szCs w:val="20"/>
            </w:rPr>
            <w:t>19</w:t>
          </w:r>
          <w:r w:rsidRPr="001D4F0A">
            <w:rPr>
              <w:rStyle w:val="Oldalszm"/>
              <w:i/>
              <w:iCs/>
              <w:sz w:val="20"/>
              <w:szCs w:val="20"/>
            </w:rPr>
            <w:fldChar w:fldCharType="end"/>
          </w:r>
          <w:r w:rsidRPr="001D4F0A">
            <w:rPr>
              <w:rStyle w:val="Oldalszm"/>
              <w:i/>
              <w:iCs/>
              <w:sz w:val="20"/>
              <w:szCs w:val="20"/>
            </w:rPr>
            <w:t xml:space="preserve"> oldal</w:t>
          </w:r>
        </w:p>
      </w:tc>
      <w:tc>
        <w:tcPr>
          <w:tcW w:w="3527" w:type="dxa"/>
          <w:shd w:val="clear" w:color="auto" w:fill="auto"/>
        </w:tcPr>
        <w:p w:rsidR="008575CE" w:rsidRPr="001D4F0A" w:rsidRDefault="008575CE">
          <w:pPr>
            <w:pStyle w:val="llb"/>
            <w:rPr>
              <w:i/>
              <w:iCs/>
              <w:sz w:val="20"/>
              <w:szCs w:val="20"/>
            </w:rPr>
          </w:pPr>
          <w:r w:rsidRPr="001D4F0A">
            <w:rPr>
              <w:i/>
              <w:iCs/>
              <w:sz w:val="20"/>
              <w:szCs w:val="20"/>
            </w:rPr>
            <w:t xml:space="preserve">Szakvezető aláírása: </w:t>
          </w:r>
        </w:p>
        <w:p w:rsidR="008575CE" w:rsidRPr="001D4F0A" w:rsidRDefault="008575CE" w:rsidP="001D4F0A">
          <w:pPr>
            <w:pStyle w:val="llb"/>
            <w:jc w:val="center"/>
            <w:rPr>
              <w:i/>
              <w:iCs/>
              <w:sz w:val="48"/>
              <w:szCs w:val="48"/>
            </w:rPr>
          </w:pPr>
          <w:r w:rsidRPr="001D4F0A">
            <w:rPr>
              <w:i/>
              <w:iCs/>
              <w:sz w:val="48"/>
              <w:szCs w:val="48"/>
            </w:rPr>
            <w:t>___________</w:t>
          </w:r>
        </w:p>
      </w:tc>
    </w:tr>
  </w:tbl>
  <w:p w:rsidR="008575CE" w:rsidRPr="009E1D90" w:rsidRDefault="008575CE">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14" w:rsidRDefault="00202D14">
      <w:r>
        <w:separator/>
      </w:r>
    </w:p>
  </w:footnote>
  <w:footnote w:type="continuationSeparator" w:id="0">
    <w:p w:rsidR="00202D14" w:rsidRDefault="0020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CE" w:rsidRPr="00243A0D" w:rsidRDefault="008575CE"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w:t>
    </w:r>
    <w:r w:rsidR="002C5C84">
      <w:rPr>
        <w:b/>
        <w:bCs/>
        <w:i/>
        <w:iCs/>
        <w:caps/>
        <w:sz w:val="20"/>
        <w:szCs w:val="20"/>
      </w:rPr>
      <w:t>nértékelés</w:t>
    </w:r>
    <w:r w:rsidR="002C5C84">
      <w:rPr>
        <w:b/>
        <w:bCs/>
        <w:i/>
        <w:iCs/>
        <w:caps/>
        <w:sz w:val="20"/>
        <w:szCs w:val="20"/>
      </w:rPr>
      <w:tab/>
      <w:t xml:space="preserve"> 2017</w:t>
    </w:r>
    <w:r>
      <w:rPr>
        <w:b/>
        <w:bCs/>
        <w:i/>
        <w:iCs/>
        <w:caps/>
        <w:sz w:val="20"/>
        <w:szCs w:val="20"/>
      </w:rPr>
      <w:t>/201</w:t>
    </w:r>
    <w:r w:rsidR="002C5C84">
      <w:rPr>
        <w:b/>
        <w:bCs/>
        <w:i/>
        <w:iCs/>
        <w:caps/>
        <w:sz w:val="20"/>
        <w:szCs w:val="20"/>
      </w:rPr>
      <w:t>8</w:t>
    </w:r>
    <w:r w:rsidRPr="00243A0D">
      <w:rPr>
        <w:b/>
        <w:bCs/>
        <w:i/>
        <w:iCs/>
        <w:caps/>
        <w:sz w:val="20"/>
        <w:szCs w:val="20"/>
      </w:rPr>
      <w:t>. tanév</w:t>
    </w:r>
    <w:r>
      <w:rPr>
        <w:b/>
        <w:bCs/>
        <w:i/>
        <w:iCs/>
        <w:caps/>
        <w:sz w:val="20"/>
        <w:szCs w:val="20"/>
      </w:rPr>
      <w:tab/>
      <w:t>vegyész mester</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595"/>
    <w:multiLevelType w:val="singleLevel"/>
    <w:tmpl w:val="0C09000F"/>
    <w:lvl w:ilvl="0">
      <w:start w:val="1"/>
      <w:numFmt w:val="decimal"/>
      <w:lvlText w:val="%1."/>
      <w:lvlJc w:val="left"/>
      <w:pPr>
        <w:tabs>
          <w:tab w:val="num" w:pos="360"/>
        </w:tabs>
        <w:ind w:left="360" w:hanging="360"/>
      </w:pPr>
    </w:lvl>
  </w:abstractNum>
  <w:abstractNum w:abstractNumId="1">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2">
    <w:nsid w:val="25596F1B"/>
    <w:multiLevelType w:val="hybridMultilevel"/>
    <w:tmpl w:val="5E64939C"/>
    <w:lvl w:ilvl="0" w:tplc="24DA40D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D5E673A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9FD3211"/>
    <w:multiLevelType w:val="hybridMultilevel"/>
    <w:tmpl w:val="CED69652"/>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CCD0EA1"/>
    <w:multiLevelType w:val="hybridMultilevel"/>
    <w:tmpl w:val="C1C057EC"/>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3C44AC6"/>
    <w:multiLevelType w:val="singleLevel"/>
    <w:tmpl w:val="12549160"/>
    <w:lvl w:ilvl="0">
      <w:start w:val="1"/>
      <w:numFmt w:val="decimal"/>
      <w:lvlText w:val="%1."/>
      <w:lvlJc w:val="left"/>
      <w:pPr>
        <w:tabs>
          <w:tab w:val="num" w:pos="360"/>
        </w:tabs>
        <w:ind w:left="360" w:hanging="360"/>
      </w:pPr>
    </w:lvl>
  </w:abstractNum>
  <w:abstractNum w:abstractNumId="12">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3">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0"/>
  </w:num>
  <w:num w:numId="2">
    <w:abstractNumId w:val="18"/>
  </w:num>
  <w:num w:numId="3">
    <w:abstractNumId w:val="1"/>
  </w:num>
  <w:num w:numId="4">
    <w:abstractNumId w:val="7"/>
  </w:num>
  <w:num w:numId="5">
    <w:abstractNumId w:val="11"/>
  </w:num>
  <w:num w:numId="6">
    <w:abstractNumId w:val="16"/>
  </w:num>
  <w:num w:numId="7">
    <w:abstractNumId w:val="13"/>
  </w:num>
  <w:num w:numId="8">
    <w:abstractNumId w:val="5"/>
  </w:num>
  <w:num w:numId="9">
    <w:abstractNumId w:val="6"/>
  </w:num>
  <w:num w:numId="10">
    <w:abstractNumId w:val="9"/>
  </w:num>
  <w:num w:numId="11">
    <w:abstractNumId w:val="15"/>
  </w:num>
  <w:num w:numId="12">
    <w:abstractNumId w:val="4"/>
  </w:num>
  <w:num w:numId="13">
    <w:abstractNumId w:val="12"/>
  </w:num>
  <w:num w:numId="14">
    <w:abstractNumId w:val="3"/>
  </w:num>
  <w:num w:numId="15">
    <w:abstractNumId w:val="2"/>
  </w:num>
  <w:num w:numId="16">
    <w:abstractNumId w:val="10"/>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931"/>
    <w:rsid w:val="00006F24"/>
    <w:rsid w:val="00012264"/>
    <w:rsid w:val="000157D6"/>
    <w:rsid w:val="000167BC"/>
    <w:rsid w:val="00016CA4"/>
    <w:rsid w:val="00023310"/>
    <w:rsid w:val="0002557B"/>
    <w:rsid w:val="00025E39"/>
    <w:rsid w:val="00034F58"/>
    <w:rsid w:val="000367BA"/>
    <w:rsid w:val="000434D8"/>
    <w:rsid w:val="00044958"/>
    <w:rsid w:val="00047DEB"/>
    <w:rsid w:val="00056335"/>
    <w:rsid w:val="00056974"/>
    <w:rsid w:val="000572BA"/>
    <w:rsid w:val="000602CA"/>
    <w:rsid w:val="00062028"/>
    <w:rsid w:val="00063E47"/>
    <w:rsid w:val="0006417A"/>
    <w:rsid w:val="00071231"/>
    <w:rsid w:val="000843FE"/>
    <w:rsid w:val="000A2D37"/>
    <w:rsid w:val="000B4032"/>
    <w:rsid w:val="000C02AD"/>
    <w:rsid w:val="000C1039"/>
    <w:rsid w:val="000C52FD"/>
    <w:rsid w:val="000D13B3"/>
    <w:rsid w:val="000D1F92"/>
    <w:rsid w:val="000D7E95"/>
    <w:rsid w:val="000E11CB"/>
    <w:rsid w:val="000E342A"/>
    <w:rsid w:val="000E740D"/>
    <w:rsid w:val="000F01FD"/>
    <w:rsid w:val="000F08FC"/>
    <w:rsid w:val="0010085B"/>
    <w:rsid w:val="00100B74"/>
    <w:rsid w:val="00104CCD"/>
    <w:rsid w:val="00112687"/>
    <w:rsid w:val="0011458F"/>
    <w:rsid w:val="001231E6"/>
    <w:rsid w:val="00130D99"/>
    <w:rsid w:val="00133C32"/>
    <w:rsid w:val="00135197"/>
    <w:rsid w:val="00136B8B"/>
    <w:rsid w:val="00137D0D"/>
    <w:rsid w:val="00144FDB"/>
    <w:rsid w:val="0015488B"/>
    <w:rsid w:val="00161EE0"/>
    <w:rsid w:val="001672C4"/>
    <w:rsid w:val="00172A43"/>
    <w:rsid w:val="0017510C"/>
    <w:rsid w:val="00175F48"/>
    <w:rsid w:val="00180185"/>
    <w:rsid w:val="001812AE"/>
    <w:rsid w:val="00185188"/>
    <w:rsid w:val="00195D2E"/>
    <w:rsid w:val="001A330F"/>
    <w:rsid w:val="001A5242"/>
    <w:rsid w:val="001B3C1B"/>
    <w:rsid w:val="001C2383"/>
    <w:rsid w:val="001C39C5"/>
    <w:rsid w:val="001C3F9B"/>
    <w:rsid w:val="001C7432"/>
    <w:rsid w:val="001D0E2D"/>
    <w:rsid w:val="001D10CD"/>
    <w:rsid w:val="001D4F0A"/>
    <w:rsid w:val="001D71E4"/>
    <w:rsid w:val="001E11BB"/>
    <w:rsid w:val="001E5C20"/>
    <w:rsid w:val="001F26FB"/>
    <w:rsid w:val="001F5F8B"/>
    <w:rsid w:val="001F73B2"/>
    <w:rsid w:val="00202D14"/>
    <w:rsid w:val="00210F93"/>
    <w:rsid w:val="00221D99"/>
    <w:rsid w:val="0022434B"/>
    <w:rsid w:val="0022769D"/>
    <w:rsid w:val="002307E8"/>
    <w:rsid w:val="00231E69"/>
    <w:rsid w:val="002417CB"/>
    <w:rsid w:val="00243A0D"/>
    <w:rsid w:val="00244EED"/>
    <w:rsid w:val="002511F5"/>
    <w:rsid w:val="00253B66"/>
    <w:rsid w:val="00254045"/>
    <w:rsid w:val="00255A8C"/>
    <w:rsid w:val="00260C55"/>
    <w:rsid w:val="002646D0"/>
    <w:rsid w:val="00266719"/>
    <w:rsid w:val="00271805"/>
    <w:rsid w:val="002758F2"/>
    <w:rsid w:val="002827FF"/>
    <w:rsid w:val="002903C8"/>
    <w:rsid w:val="002934DE"/>
    <w:rsid w:val="002958D7"/>
    <w:rsid w:val="002A3CB1"/>
    <w:rsid w:val="002B6EE5"/>
    <w:rsid w:val="002B726A"/>
    <w:rsid w:val="002C5C84"/>
    <w:rsid w:val="002D06AF"/>
    <w:rsid w:val="002D4A43"/>
    <w:rsid w:val="002D566C"/>
    <w:rsid w:val="002D7295"/>
    <w:rsid w:val="002E060E"/>
    <w:rsid w:val="002E0E7D"/>
    <w:rsid w:val="002E79C9"/>
    <w:rsid w:val="002F65B6"/>
    <w:rsid w:val="002F7D1D"/>
    <w:rsid w:val="00302954"/>
    <w:rsid w:val="00312CBD"/>
    <w:rsid w:val="0031623A"/>
    <w:rsid w:val="0031697B"/>
    <w:rsid w:val="0033040D"/>
    <w:rsid w:val="003412EA"/>
    <w:rsid w:val="0034208D"/>
    <w:rsid w:val="0034519A"/>
    <w:rsid w:val="0034525B"/>
    <w:rsid w:val="003454F7"/>
    <w:rsid w:val="00347009"/>
    <w:rsid w:val="003537D6"/>
    <w:rsid w:val="00360A46"/>
    <w:rsid w:val="0036451C"/>
    <w:rsid w:val="00364F21"/>
    <w:rsid w:val="00365A57"/>
    <w:rsid w:val="00377411"/>
    <w:rsid w:val="00377C03"/>
    <w:rsid w:val="00384D42"/>
    <w:rsid w:val="003859E9"/>
    <w:rsid w:val="00385DC9"/>
    <w:rsid w:val="003874BA"/>
    <w:rsid w:val="00396D1B"/>
    <w:rsid w:val="003A11F4"/>
    <w:rsid w:val="003A1988"/>
    <w:rsid w:val="003A24C9"/>
    <w:rsid w:val="003A5E47"/>
    <w:rsid w:val="003A7DC9"/>
    <w:rsid w:val="003B18AD"/>
    <w:rsid w:val="003B67A9"/>
    <w:rsid w:val="003B708A"/>
    <w:rsid w:val="003C2203"/>
    <w:rsid w:val="003C4760"/>
    <w:rsid w:val="003C5116"/>
    <w:rsid w:val="003D0FB9"/>
    <w:rsid w:val="003D2C5E"/>
    <w:rsid w:val="003D5619"/>
    <w:rsid w:val="003E1ED7"/>
    <w:rsid w:val="003E3970"/>
    <w:rsid w:val="003E4425"/>
    <w:rsid w:val="004063FA"/>
    <w:rsid w:val="00411B48"/>
    <w:rsid w:val="00413762"/>
    <w:rsid w:val="004140CD"/>
    <w:rsid w:val="00415E6A"/>
    <w:rsid w:val="004239BA"/>
    <w:rsid w:val="00426265"/>
    <w:rsid w:val="0043377C"/>
    <w:rsid w:val="004428CC"/>
    <w:rsid w:val="00451358"/>
    <w:rsid w:val="00453D1C"/>
    <w:rsid w:val="0045561B"/>
    <w:rsid w:val="00461EE5"/>
    <w:rsid w:val="00464961"/>
    <w:rsid w:val="00470265"/>
    <w:rsid w:val="00470467"/>
    <w:rsid w:val="0047059A"/>
    <w:rsid w:val="004834F9"/>
    <w:rsid w:val="004853DC"/>
    <w:rsid w:val="0049157B"/>
    <w:rsid w:val="004A5B0B"/>
    <w:rsid w:val="004C645A"/>
    <w:rsid w:val="004C70C1"/>
    <w:rsid w:val="004D14B0"/>
    <w:rsid w:val="004D33CE"/>
    <w:rsid w:val="004D6386"/>
    <w:rsid w:val="004D6ABF"/>
    <w:rsid w:val="004D6E7B"/>
    <w:rsid w:val="004E0A2B"/>
    <w:rsid w:val="004E125D"/>
    <w:rsid w:val="004E3D83"/>
    <w:rsid w:val="004F44C0"/>
    <w:rsid w:val="004F64B3"/>
    <w:rsid w:val="00500CFD"/>
    <w:rsid w:val="00507556"/>
    <w:rsid w:val="00517CF1"/>
    <w:rsid w:val="005214D9"/>
    <w:rsid w:val="00526020"/>
    <w:rsid w:val="00530DEA"/>
    <w:rsid w:val="00531139"/>
    <w:rsid w:val="0053416B"/>
    <w:rsid w:val="00543742"/>
    <w:rsid w:val="0054523E"/>
    <w:rsid w:val="005459E0"/>
    <w:rsid w:val="005474A3"/>
    <w:rsid w:val="00552855"/>
    <w:rsid w:val="00564276"/>
    <w:rsid w:val="005644DD"/>
    <w:rsid w:val="005667FD"/>
    <w:rsid w:val="00570068"/>
    <w:rsid w:val="00574D16"/>
    <w:rsid w:val="005831E9"/>
    <w:rsid w:val="00585B35"/>
    <w:rsid w:val="00587CCC"/>
    <w:rsid w:val="005904D2"/>
    <w:rsid w:val="00593F18"/>
    <w:rsid w:val="005A1709"/>
    <w:rsid w:val="005A325A"/>
    <w:rsid w:val="005B44CD"/>
    <w:rsid w:val="005C3421"/>
    <w:rsid w:val="005C7D5D"/>
    <w:rsid w:val="005D0CF1"/>
    <w:rsid w:val="005D38CC"/>
    <w:rsid w:val="005D62D1"/>
    <w:rsid w:val="005E118F"/>
    <w:rsid w:val="005E1ABE"/>
    <w:rsid w:val="005E3184"/>
    <w:rsid w:val="005F44E3"/>
    <w:rsid w:val="005F5272"/>
    <w:rsid w:val="00623A96"/>
    <w:rsid w:val="00626D9F"/>
    <w:rsid w:val="0066378A"/>
    <w:rsid w:val="00663C81"/>
    <w:rsid w:val="006702BC"/>
    <w:rsid w:val="00673014"/>
    <w:rsid w:val="0067743D"/>
    <w:rsid w:val="0068202B"/>
    <w:rsid w:val="00696EC4"/>
    <w:rsid w:val="006A3F60"/>
    <w:rsid w:val="006B5CC8"/>
    <w:rsid w:val="006C25CD"/>
    <w:rsid w:val="006C2C02"/>
    <w:rsid w:val="006C3B58"/>
    <w:rsid w:val="006C4C9E"/>
    <w:rsid w:val="006E0CBF"/>
    <w:rsid w:val="006E1165"/>
    <w:rsid w:val="006F25FA"/>
    <w:rsid w:val="0070069B"/>
    <w:rsid w:val="00710A8F"/>
    <w:rsid w:val="00712E32"/>
    <w:rsid w:val="0073005C"/>
    <w:rsid w:val="00731718"/>
    <w:rsid w:val="00735178"/>
    <w:rsid w:val="00746566"/>
    <w:rsid w:val="00752A80"/>
    <w:rsid w:val="00754C0F"/>
    <w:rsid w:val="007602D7"/>
    <w:rsid w:val="00763254"/>
    <w:rsid w:val="0076599A"/>
    <w:rsid w:val="00766255"/>
    <w:rsid w:val="0077278E"/>
    <w:rsid w:val="00781A54"/>
    <w:rsid w:val="00782E6B"/>
    <w:rsid w:val="00784849"/>
    <w:rsid w:val="007853DA"/>
    <w:rsid w:val="00790303"/>
    <w:rsid w:val="0079054A"/>
    <w:rsid w:val="00793AB3"/>
    <w:rsid w:val="007966F1"/>
    <w:rsid w:val="007A13FF"/>
    <w:rsid w:val="007A162B"/>
    <w:rsid w:val="007A1660"/>
    <w:rsid w:val="007A2BC2"/>
    <w:rsid w:val="007A4AB6"/>
    <w:rsid w:val="007B281D"/>
    <w:rsid w:val="007C635C"/>
    <w:rsid w:val="007D2D19"/>
    <w:rsid w:val="007F4F00"/>
    <w:rsid w:val="008003FF"/>
    <w:rsid w:val="0080440F"/>
    <w:rsid w:val="008067B3"/>
    <w:rsid w:val="00810BB4"/>
    <w:rsid w:val="00812B96"/>
    <w:rsid w:val="00814E51"/>
    <w:rsid w:val="00816A6F"/>
    <w:rsid w:val="00825AC0"/>
    <w:rsid w:val="00826A9A"/>
    <w:rsid w:val="00832736"/>
    <w:rsid w:val="00841F26"/>
    <w:rsid w:val="00842CB6"/>
    <w:rsid w:val="00850081"/>
    <w:rsid w:val="008575CE"/>
    <w:rsid w:val="008576BE"/>
    <w:rsid w:val="00872B73"/>
    <w:rsid w:val="00874CB4"/>
    <w:rsid w:val="00880F47"/>
    <w:rsid w:val="0088283D"/>
    <w:rsid w:val="00883015"/>
    <w:rsid w:val="0088412F"/>
    <w:rsid w:val="008956F5"/>
    <w:rsid w:val="008965F2"/>
    <w:rsid w:val="008B12E2"/>
    <w:rsid w:val="008B4492"/>
    <w:rsid w:val="008B4EC8"/>
    <w:rsid w:val="008B4F88"/>
    <w:rsid w:val="008B7755"/>
    <w:rsid w:val="008C48A8"/>
    <w:rsid w:val="008C6907"/>
    <w:rsid w:val="008C695C"/>
    <w:rsid w:val="008C6A72"/>
    <w:rsid w:val="008D0096"/>
    <w:rsid w:val="008D1160"/>
    <w:rsid w:val="008E2978"/>
    <w:rsid w:val="008E4C2A"/>
    <w:rsid w:val="008F1114"/>
    <w:rsid w:val="008F1528"/>
    <w:rsid w:val="008F4742"/>
    <w:rsid w:val="008F52C0"/>
    <w:rsid w:val="008F6C22"/>
    <w:rsid w:val="009007E2"/>
    <w:rsid w:val="00902B68"/>
    <w:rsid w:val="00915302"/>
    <w:rsid w:val="009162B1"/>
    <w:rsid w:val="00923919"/>
    <w:rsid w:val="009247A4"/>
    <w:rsid w:val="0092496E"/>
    <w:rsid w:val="00931D0F"/>
    <w:rsid w:val="00950F52"/>
    <w:rsid w:val="00952ADB"/>
    <w:rsid w:val="00954E2D"/>
    <w:rsid w:val="00956021"/>
    <w:rsid w:val="00976EC9"/>
    <w:rsid w:val="00980E09"/>
    <w:rsid w:val="00981F86"/>
    <w:rsid w:val="00987C18"/>
    <w:rsid w:val="0099479C"/>
    <w:rsid w:val="00997948"/>
    <w:rsid w:val="009A1A00"/>
    <w:rsid w:val="009B573E"/>
    <w:rsid w:val="009C6755"/>
    <w:rsid w:val="009C74B1"/>
    <w:rsid w:val="009C7758"/>
    <w:rsid w:val="009D0273"/>
    <w:rsid w:val="009D11F8"/>
    <w:rsid w:val="009E1D90"/>
    <w:rsid w:val="009E7817"/>
    <w:rsid w:val="00A17AD2"/>
    <w:rsid w:val="00A21F94"/>
    <w:rsid w:val="00A22837"/>
    <w:rsid w:val="00A24354"/>
    <w:rsid w:val="00A32663"/>
    <w:rsid w:val="00A36F83"/>
    <w:rsid w:val="00A406F0"/>
    <w:rsid w:val="00A61D4B"/>
    <w:rsid w:val="00A6310B"/>
    <w:rsid w:val="00A6600D"/>
    <w:rsid w:val="00A70FAF"/>
    <w:rsid w:val="00A71CBF"/>
    <w:rsid w:val="00A72538"/>
    <w:rsid w:val="00A73C15"/>
    <w:rsid w:val="00A74ED9"/>
    <w:rsid w:val="00A77D95"/>
    <w:rsid w:val="00A8262E"/>
    <w:rsid w:val="00A9384D"/>
    <w:rsid w:val="00AB1613"/>
    <w:rsid w:val="00AB3317"/>
    <w:rsid w:val="00AB74DE"/>
    <w:rsid w:val="00AB761F"/>
    <w:rsid w:val="00AC5D91"/>
    <w:rsid w:val="00AD561D"/>
    <w:rsid w:val="00AD5E25"/>
    <w:rsid w:val="00AD7695"/>
    <w:rsid w:val="00AE03FF"/>
    <w:rsid w:val="00AE336D"/>
    <w:rsid w:val="00AE48B0"/>
    <w:rsid w:val="00AF2594"/>
    <w:rsid w:val="00B04D31"/>
    <w:rsid w:val="00B207C6"/>
    <w:rsid w:val="00B22F38"/>
    <w:rsid w:val="00B276C5"/>
    <w:rsid w:val="00B329E5"/>
    <w:rsid w:val="00B36521"/>
    <w:rsid w:val="00B37A68"/>
    <w:rsid w:val="00B56E38"/>
    <w:rsid w:val="00B64ACB"/>
    <w:rsid w:val="00B65DC6"/>
    <w:rsid w:val="00B7182D"/>
    <w:rsid w:val="00B72EE1"/>
    <w:rsid w:val="00B81A1B"/>
    <w:rsid w:val="00B854FE"/>
    <w:rsid w:val="00B87693"/>
    <w:rsid w:val="00BA34BA"/>
    <w:rsid w:val="00BB5651"/>
    <w:rsid w:val="00BC2935"/>
    <w:rsid w:val="00BC6E1A"/>
    <w:rsid w:val="00BD12D7"/>
    <w:rsid w:val="00BD20B1"/>
    <w:rsid w:val="00BD5370"/>
    <w:rsid w:val="00BF0335"/>
    <w:rsid w:val="00BF094B"/>
    <w:rsid w:val="00C03FAE"/>
    <w:rsid w:val="00C04706"/>
    <w:rsid w:val="00C3125E"/>
    <w:rsid w:val="00C43000"/>
    <w:rsid w:val="00C571E4"/>
    <w:rsid w:val="00C57A7D"/>
    <w:rsid w:val="00C61859"/>
    <w:rsid w:val="00C618E6"/>
    <w:rsid w:val="00C65841"/>
    <w:rsid w:val="00C726D7"/>
    <w:rsid w:val="00C7626B"/>
    <w:rsid w:val="00C7771A"/>
    <w:rsid w:val="00C83A5F"/>
    <w:rsid w:val="00C8408C"/>
    <w:rsid w:val="00C86BB2"/>
    <w:rsid w:val="00C87464"/>
    <w:rsid w:val="00C91C08"/>
    <w:rsid w:val="00C93F92"/>
    <w:rsid w:val="00C9444A"/>
    <w:rsid w:val="00CA1752"/>
    <w:rsid w:val="00CA2993"/>
    <w:rsid w:val="00CA43C2"/>
    <w:rsid w:val="00CA7926"/>
    <w:rsid w:val="00CB27AC"/>
    <w:rsid w:val="00CC2B40"/>
    <w:rsid w:val="00CC355B"/>
    <w:rsid w:val="00CC3886"/>
    <w:rsid w:val="00CD6F6D"/>
    <w:rsid w:val="00CD76C5"/>
    <w:rsid w:val="00CE0BDB"/>
    <w:rsid w:val="00CE4D67"/>
    <w:rsid w:val="00CF6207"/>
    <w:rsid w:val="00D05B43"/>
    <w:rsid w:val="00D068B5"/>
    <w:rsid w:val="00D07709"/>
    <w:rsid w:val="00D162AA"/>
    <w:rsid w:val="00D17F3C"/>
    <w:rsid w:val="00D257B7"/>
    <w:rsid w:val="00D26DF6"/>
    <w:rsid w:val="00D332BA"/>
    <w:rsid w:val="00D34322"/>
    <w:rsid w:val="00D34BD5"/>
    <w:rsid w:val="00D41139"/>
    <w:rsid w:val="00D424EF"/>
    <w:rsid w:val="00D501F9"/>
    <w:rsid w:val="00D50A39"/>
    <w:rsid w:val="00D55435"/>
    <w:rsid w:val="00D67428"/>
    <w:rsid w:val="00D67C7B"/>
    <w:rsid w:val="00D72211"/>
    <w:rsid w:val="00D752F6"/>
    <w:rsid w:val="00D84EB7"/>
    <w:rsid w:val="00D852B3"/>
    <w:rsid w:val="00D85746"/>
    <w:rsid w:val="00D94C05"/>
    <w:rsid w:val="00DA7CA3"/>
    <w:rsid w:val="00DB0AA1"/>
    <w:rsid w:val="00DB45BA"/>
    <w:rsid w:val="00DB67B2"/>
    <w:rsid w:val="00DC0BF6"/>
    <w:rsid w:val="00DC3B93"/>
    <w:rsid w:val="00DC4AD7"/>
    <w:rsid w:val="00DD7615"/>
    <w:rsid w:val="00DF0B3F"/>
    <w:rsid w:val="00DF4691"/>
    <w:rsid w:val="00DF5AC9"/>
    <w:rsid w:val="00E0161C"/>
    <w:rsid w:val="00E2563E"/>
    <w:rsid w:val="00E42DB9"/>
    <w:rsid w:val="00E458EB"/>
    <w:rsid w:val="00E4675C"/>
    <w:rsid w:val="00E5447F"/>
    <w:rsid w:val="00E55F5B"/>
    <w:rsid w:val="00E56D2B"/>
    <w:rsid w:val="00EA0418"/>
    <w:rsid w:val="00EB2159"/>
    <w:rsid w:val="00EB6593"/>
    <w:rsid w:val="00EC055F"/>
    <w:rsid w:val="00EC0A2A"/>
    <w:rsid w:val="00EC2B12"/>
    <w:rsid w:val="00EC5AFE"/>
    <w:rsid w:val="00EC67EF"/>
    <w:rsid w:val="00ED4195"/>
    <w:rsid w:val="00ED460B"/>
    <w:rsid w:val="00EF21BD"/>
    <w:rsid w:val="00EF6A6F"/>
    <w:rsid w:val="00F00ECF"/>
    <w:rsid w:val="00F1022A"/>
    <w:rsid w:val="00F15380"/>
    <w:rsid w:val="00F20ABE"/>
    <w:rsid w:val="00F22228"/>
    <w:rsid w:val="00F239A1"/>
    <w:rsid w:val="00F27207"/>
    <w:rsid w:val="00F33BAF"/>
    <w:rsid w:val="00F50341"/>
    <w:rsid w:val="00F65F07"/>
    <w:rsid w:val="00F7731E"/>
    <w:rsid w:val="00F91C84"/>
    <w:rsid w:val="00F92750"/>
    <w:rsid w:val="00FA08BA"/>
    <w:rsid w:val="00FA2A80"/>
    <w:rsid w:val="00FA7523"/>
    <w:rsid w:val="00FB04D5"/>
    <w:rsid w:val="00FB1E1C"/>
    <w:rsid w:val="00FD3029"/>
    <w:rsid w:val="00FD5FDF"/>
    <w:rsid w:val="00FD65D0"/>
    <w:rsid w:val="00FD778B"/>
    <w:rsid w:val="00FE29ED"/>
    <w:rsid w:val="00FE4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38170325">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76558961">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653340143">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271473651">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13992675">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in.hu/library/index-hu.ht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elviweb.uni-pannon.hu/index.php?option=com_content&amp;task=view&amp;id=56&amp;Itemid=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nyvtar.uni-pannon.hu/hu/node/43"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5073</Words>
  <Characters>35007</Characters>
  <Application>Microsoft Office Word</Application>
  <DocSecurity>4</DocSecurity>
  <Lines>291</Lines>
  <Paragraphs>79</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PE</Company>
  <LinksUpToDate>false</LinksUpToDate>
  <CharactersWithSpaces>40001</CharactersWithSpaces>
  <SharedDoc>false</SharedDoc>
  <HLinks>
    <vt:vector size="84" baseType="variant">
      <vt:variant>
        <vt:i4>7274579</vt:i4>
      </vt:variant>
      <vt:variant>
        <vt:i4>90</vt:i4>
      </vt:variant>
      <vt:variant>
        <vt:i4>0</vt:i4>
      </vt:variant>
      <vt:variant>
        <vt:i4>5</vt:i4>
      </vt:variant>
      <vt:variant>
        <vt:lpwstr>http://felviweb.uni-pannon.hu/index.php?option=com_content&amp;task=view&amp;id=56&amp;Itemid=0</vt:lpwstr>
      </vt:variant>
      <vt:variant>
        <vt:lpwstr/>
      </vt:variant>
      <vt:variant>
        <vt:i4>983064</vt:i4>
      </vt:variant>
      <vt:variant>
        <vt:i4>72</vt:i4>
      </vt:variant>
      <vt:variant>
        <vt:i4>0</vt:i4>
      </vt:variant>
      <vt:variant>
        <vt:i4>5</vt:i4>
      </vt:variant>
      <vt:variant>
        <vt:lpwstr>http://www.felvi.hu/</vt:lpwstr>
      </vt:variant>
      <vt:variant>
        <vt:lpwstr/>
      </vt:variant>
      <vt:variant>
        <vt:i4>1114198</vt:i4>
      </vt:variant>
      <vt:variant>
        <vt:i4>66</vt:i4>
      </vt:variant>
      <vt:variant>
        <vt:i4>0</vt:i4>
      </vt:variant>
      <vt:variant>
        <vt:i4>5</vt:i4>
      </vt:variant>
      <vt:variant>
        <vt:lpwstr>http://konyvtar.uni-pannon.hu/hu/node/43</vt:lpwstr>
      </vt:variant>
      <vt:variant>
        <vt:lpwstr/>
      </vt:variant>
      <vt:variant>
        <vt:i4>4063329</vt:i4>
      </vt:variant>
      <vt:variant>
        <vt:i4>63</vt:i4>
      </vt:variant>
      <vt:variant>
        <vt:i4>0</vt:i4>
      </vt:variant>
      <vt:variant>
        <vt:i4>5</vt:i4>
      </vt:variant>
      <vt:variant>
        <vt:lpwstr>http://www.vein.hu/library/index-hu.htm</vt:lpwstr>
      </vt:variant>
      <vt:variant>
        <vt:lpwstr/>
      </vt:variant>
      <vt:variant>
        <vt:i4>2031676</vt:i4>
      </vt:variant>
      <vt:variant>
        <vt:i4>56</vt:i4>
      </vt:variant>
      <vt:variant>
        <vt:i4>0</vt:i4>
      </vt:variant>
      <vt:variant>
        <vt:i4>5</vt:i4>
      </vt:variant>
      <vt:variant>
        <vt:lpwstr/>
      </vt:variant>
      <vt:variant>
        <vt:lpwstr>_Toc289601777</vt:lpwstr>
      </vt:variant>
      <vt:variant>
        <vt:i4>2031676</vt:i4>
      </vt:variant>
      <vt:variant>
        <vt:i4>50</vt:i4>
      </vt:variant>
      <vt:variant>
        <vt:i4>0</vt:i4>
      </vt:variant>
      <vt:variant>
        <vt:i4>5</vt:i4>
      </vt:variant>
      <vt:variant>
        <vt:lpwstr/>
      </vt:variant>
      <vt:variant>
        <vt:lpwstr>_Toc289601776</vt:lpwstr>
      </vt:variant>
      <vt:variant>
        <vt:i4>2031676</vt:i4>
      </vt:variant>
      <vt:variant>
        <vt:i4>44</vt:i4>
      </vt:variant>
      <vt:variant>
        <vt:i4>0</vt:i4>
      </vt:variant>
      <vt:variant>
        <vt:i4>5</vt:i4>
      </vt:variant>
      <vt:variant>
        <vt:lpwstr/>
      </vt:variant>
      <vt:variant>
        <vt:lpwstr>_Toc289601775</vt:lpwstr>
      </vt:variant>
      <vt:variant>
        <vt:i4>2031676</vt:i4>
      </vt:variant>
      <vt:variant>
        <vt:i4>38</vt:i4>
      </vt:variant>
      <vt:variant>
        <vt:i4>0</vt:i4>
      </vt:variant>
      <vt:variant>
        <vt:i4>5</vt:i4>
      </vt:variant>
      <vt:variant>
        <vt:lpwstr/>
      </vt:variant>
      <vt:variant>
        <vt:lpwstr>_Toc289601774</vt:lpwstr>
      </vt:variant>
      <vt:variant>
        <vt:i4>2031676</vt:i4>
      </vt:variant>
      <vt:variant>
        <vt:i4>32</vt:i4>
      </vt:variant>
      <vt:variant>
        <vt:i4>0</vt:i4>
      </vt:variant>
      <vt:variant>
        <vt:i4>5</vt:i4>
      </vt:variant>
      <vt:variant>
        <vt:lpwstr/>
      </vt:variant>
      <vt:variant>
        <vt:lpwstr>_Toc289601773</vt:lpwstr>
      </vt:variant>
      <vt:variant>
        <vt:i4>2031676</vt:i4>
      </vt:variant>
      <vt:variant>
        <vt:i4>26</vt:i4>
      </vt:variant>
      <vt:variant>
        <vt:i4>0</vt:i4>
      </vt:variant>
      <vt:variant>
        <vt:i4>5</vt:i4>
      </vt:variant>
      <vt:variant>
        <vt:lpwstr/>
      </vt:variant>
      <vt:variant>
        <vt:lpwstr>_Toc289601772</vt:lpwstr>
      </vt:variant>
      <vt:variant>
        <vt:i4>2031676</vt:i4>
      </vt:variant>
      <vt:variant>
        <vt:i4>20</vt:i4>
      </vt:variant>
      <vt:variant>
        <vt:i4>0</vt:i4>
      </vt:variant>
      <vt:variant>
        <vt:i4>5</vt:i4>
      </vt:variant>
      <vt:variant>
        <vt:lpwstr/>
      </vt:variant>
      <vt:variant>
        <vt:lpwstr>_Toc289601771</vt:lpwstr>
      </vt:variant>
      <vt:variant>
        <vt:i4>2031676</vt:i4>
      </vt:variant>
      <vt:variant>
        <vt:i4>14</vt:i4>
      </vt:variant>
      <vt:variant>
        <vt:i4>0</vt:i4>
      </vt:variant>
      <vt:variant>
        <vt:i4>5</vt:i4>
      </vt:variant>
      <vt:variant>
        <vt:lpwstr/>
      </vt:variant>
      <vt:variant>
        <vt:lpwstr>_Toc289601770</vt:lpwstr>
      </vt:variant>
      <vt:variant>
        <vt:i4>1966140</vt:i4>
      </vt:variant>
      <vt:variant>
        <vt:i4>8</vt:i4>
      </vt:variant>
      <vt:variant>
        <vt:i4>0</vt:i4>
      </vt:variant>
      <vt:variant>
        <vt:i4>5</vt:i4>
      </vt:variant>
      <vt:variant>
        <vt:lpwstr/>
      </vt:variant>
      <vt:variant>
        <vt:lpwstr>_Toc289601769</vt:lpwstr>
      </vt:variant>
      <vt:variant>
        <vt:i4>1966140</vt:i4>
      </vt:variant>
      <vt:variant>
        <vt:i4>2</vt:i4>
      </vt:variant>
      <vt:variant>
        <vt:i4>0</vt:i4>
      </vt:variant>
      <vt:variant>
        <vt:i4>5</vt:i4>
      </vt:variant>
      <vt:variant>
        <vt:lpwstr/>
      </vt:variant>
      <vt:variant>
        <vt:lpwstr>_Toc289601768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2018-11-12T07:27:00Z</dcterms:created>
  <dcterms:modified xsi:type="dcterms:W3CDTF">2018-11-12T07:27:00Z</dcterms:modified>
</cp:coreProperties>
</file>