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
        <w:gridCol w:w="850"/>
        <w:gridCol w:w="676"/>
        <w:gridCol w:w="138"/>
        <w:gridCol w:w="137"/>
        <w:gridCol w:w="136"/>
        <w:gridCol w:w="946"/>
        <w:gridCol w:w="53"/>
        <w:gridCol w:w="355"/>
        <w:gridCol w:w="1362"/>
        <w:gridCol w:w="410"/>
        <w:gridCol w:w="252"/>
        <w:gridCol w:w="270"/>
        <w:gridCol w:w="1208"/>
        <w:gridCol w:w="1428"/>
      </w:tblGrid>
      <w:tr w:rsidR="00AA4361" w:rsidRPr="00EF7FC0" w:rsidTr="00701AFB">
        <w:trPr>
          <w:cantSplit/>
        </w:trPr>
        <w:tc>
          <w:tcPr>
            <w:tcW w:w="3204" w:type="dxa"/>
            <w:gridSpan w:val="5"/>
            <w:tcBorders>
              <w:top w:val="single" w:sz="12" w:space="0" w:color="auto"/>
            </w:tcBorders>
            <w:shd w:val="clear" w:color="auto" w:fill="BDD6EE" w:themeFill="accent1" w:themeFillTint="66"/>
          </w:tcPr>
          <w:p w:rsidR="00AA4361" w:rsidRPr="00EF7FC0" w:rsidRDefault="00AA4361" w:rsidP="00D016EC">
            <w:pPr>
              <w:rPr>
                <w:rFonts w:ascii="IBM Plex Serif" w:hAnsi="IBM Plex Serif"/>
              </w:rPr>
            </w:pPr>
            <w:r w:rsidRPr="00EF7FC0">
              <w:rPr>
                <w:rFonts w:ascii="IBM Plex Serif" w:hAnsi="IBM Plex Serif"/>
                <w:b/>
                <w:bCs/>
              </w:rPr>
              <w:t>A tantárgy neve:</w:t>
            </w:r>
            <w:r w:rsidRPr="00EF7FC0">
              <w:rPr>
                <w:rFonts w:ascii="IBM Plex Serif" w:hAnsi="IBM Plex Serif"/>
              </w:rPr>
              <w:t xml:space="preserve"> </w:t>
            </w:r>
          </w:p>
        </w:tc>
        <w:tc>
          <w:tcPr>
            <w:tcW w:w="6420" w:type="dxa"/>
            <w:gridSpan w:val="10"/>
            <w:tcBorders>
              <w:top w:val="single" w:sz="12" w:space="0" w:color="auto"/>
            </w:tcBorders>
          </w:tcPr>
          <w:p w:rsidR="00AA4361" w:rsidRPr="00EF7FC0" w:rsidRDefault="008B3EFE" w:rsidP="00D016EC">
            <w:pPr>
              <w:rPr>
                <w:rFonts w:ascii="IBM Plex Serif" w:hAnsi="IBM Plex Serif"/>
              </w:rPr>
            </w:pPr>
            <w:bookmarkStart w:id="0" w:name="_Hlk179466497"/>
            <w:r w:rsidRPr="00EF7FC0">
              <w:rPr>
                <w:rFonts w:ascii="IBM Plex Serif" w:hAnsi="IBM Plex Serif"/>
                <w:b/>
              </w:rPr>
              <w:t>Hulladékok kezelése, feldolgozása I.</w:t>
            </w:r>
            <w:bookmarkEnd w:id="0"/>
          </w:p>
        </w:tc>
      </w:tr>
      <w:tr w:rsidR="00AA4361" w:rsidRPr="00EF7FC0" w:rsidTr="00701AFB">
        <w:trPr>
          <w:cantSplit/>
        </w:trPr>
        <w:tc>
          <w:tcPr>
            <w:tcW w:w="3204" w:type="dxa"/>
            <w:gridSpan w:val="5"/>
            <w:shd w:val="clear" w:color="auto" w:fill="BDD6EE" w:themeFill="accent1" w:themeFillTint="66"/>
          </w:tcPr>
          <w:p w:rsidR="00AA4361" w:rsidRPr="00EF7FC0" w:rsidRDefault="00AA4361" w:rsidP="00202476">
            <w:pPr>
              <w:rPr>
                <w:rFonts w:ascii="IBM Plex Serif" w:hAnsi="IBM Plex Serif"/>
                <w:b/>
                <w:bCs/>
                <w:highlight w:val="yellow"/>
              </w:rPr>
            </w:pPr>
            <w:r w:rsidRPr="00EF7FC0">
              <w:rPr>
                <w:rFonts w:ascii="IBM Plex Serif" w:hAnsi="IBM Plex Serif"/>
                <w:b/>
                <w:bCs/>
              </w:rPr>
              <w:t xml:space="preserve">A tantárgy neve angolul: </w:t>
            </w:r>
          </w:p>
        </w:tc>
        <w:tc>
          <w:tcPr>
            <w:tcW w:w="6420" w:type="dxa"/>
            <w:gridSpan w:val="10"/>
          </w:tcPr>
          <w:p w:rsidR="00AA4361" w:rsidRPr="00EF7FC0" w:rsidRDefault="008B3EFE" w:rsidP="00202476">
            <w:pPr>
              <w:rPr>
                <w:rFonts w:ascii="IBM Plex Serif" w:hAnsi="IBM Plex Serif"/>
              </w:rPr>
            </w:pPr>
            <w:r w:rsidRPr="00EF7FC0">
              <w:rPr>
                <w:rFonts w:ascii="IBM Plex Serif" w:hAnsi="IBM Plex Serif"/>
              </w:rPr>
              <w:t>Waste management and processing I.</w:t>
            </w:r>
          </w:p>
        </w:tc>
      </w:tr>
      <w:tr w:rsidR="00AA4361" w:rsidRPr="00EF7FC0" w:rsidTr="00701AFB">
        <w:trPr>
          <w:cantSplit/>
          <w:trHeight w:val="388"/>
        </w:trPr>
        <w:tc>
          <w:tcPr>
            <w:tcW w:w="4286" w:type="dxa"/>
            <w:gridSpan w:val="7"/>
            <w:shd w:val="clear" w:color="auto" w:fill="BDD6EE" w:themeFill="accent1" w:themeFillTint="66"/>
          </w:tcPr>
          <w:p w:rsidR="00AA4361" w:rsidRPr="00EF7FC0" w:rsidRDefault="00AA4361" w:rsidP="001C0924">
            <w:pPr>
              <w:jc w:val="left"/>
              <w:rPr>
                <w:rFonts w:ascii="IBM Plex Serif" w:hAnsi="IBM Plex Serif"/>
                <w:b/>
                <w:bCs/>
              </w:rPr>
            </w:pPr>
            <w:r w:rsidRPr="00EF7FC0">
              <w:rPr>
                <w:rFonts w:ascii="IBM Plex Serif" w:hAnsi="IBM Plex Serif"/>
                <w:b/>
                <w:bCs/>
              </w:rPr>
              <w:t>Kötelező előtanulmány(ok) kódja(i)</w:t>
            </w:r>
            <w:r w:rsidR="007D3E9C" w:rsidRPr="00EF7FC0">
              <w:rPr>
                <w:rFonts w:ascii="IBM Plex Serif" w:hAnsi="IBM Plex Serif"/>
                <w:b/>
                <w:bCs/>
                <w:vertAlign w:val="superscript"/>
              </w:rPr>
              <w:t>1</w:t>
            </w:r>
            <w:r w:rsidRPr="00EF7FC0">
              <w:rPr>
                <w:rFonts w:ascii="IBM Plex Serif" w:hAnsi="IBM Plex Serif"/>
                <w:b/>
                <w:bCs/>
              </w:rPr>
              <w:t xml:space="preserve">: </w:t>
            </w:r>
          </w:p>
        </w:tc>
        <w:tc>
          <w:tcPr>
            <w:tcW w:w="2702" w:type="dxa"/>
            <w:gridSpan w:val="6"/>
            <w:vMerge w:val="restart"/>
            <w:shd w:val="clear" w:color="auto" w:fill="BDD6EE" w:themeFill="accent1" w:themeFillTint="66"/>
          </w:tcPr>
          <w:p w:rsidR="00AA4361" w:rsidRPr="00EF7FC0" w:rsidRDefault="00AA4361" w:rsidP="00202476">
            <w:pPr>
              <w:rPr>
                <w:rFonts w:ascii="IBM Plex Serif" w:hAnsi="IBM Plex Serif"/>
                <w:b/>
              </w:rPr>
            </w:pPr>
            <w:r w:rsidRPr="00EF7FC0">
              <w:rPr>
                <w:rFonts w:ascii="IBM Plex Serif" w:hAnsi="IBM Plex Serif"/>
                <w:b/>
              </w:rPr>
              <w:t xml:space="preserve">Tantárgy típusa (elsődleges tanterven): </w:t>
            </w:r>
          </w:p>
        </w:tc>
        <w:sdt>
          <w:sdtPr>
            <w:rPr>
              <w:rFonts w:ascii="IBM Plex Serif" w:hAnsi="IBM Plex Serif"/>
            </w:rPr>
            <w:id w:val="1512411294"/>
            <w:lock w:val="sdtLocked"/>
            <w:placeholder>
              <w:docPart w:val="2B7B11E6A8054F6DBAF2FD06DEC5C0D3"/>
            </w:placeholder>
            <w:dropDownList>
              <w:listItem w:value="Jelöljön ki egy elemet."/>
              <w:listItem w:displayText="Kötelező" w:value="Kötelező"/>
              <w:listItem w:displayText="Kötelezően választható" w:value="Kötelezően választható"/>
              <w:listItem w:displayText="Szabadon választható " w:value="Szabadon választható "/>
            </w:dropDownList>
          </w:sdtPr>
          <w:sdtEndPr/>
          <w:sdtContent>
            <w:tc>
              <w:tcPr>
                <w:tcW w:w="2636" w:type="dxa"/>
                <w:gridSpan w:val="2"/>
                <w:vMerge w:val="restart"/>
              </w:tcPr>
              <w:p w:rsidR="00AA4361" w:rsidRPr="00EF7FC0" w:rsidRDefault="00007183" w:rsidP="00202476">
                <w:pPr>
                  <w:rPr>
                    <w:rFonts w:ascii="IBM Plex Serif" w:hAnsi="IBM Plex Serif"/>
                  </w:rPr>
                </w:pPr>
                <w:r w:rsidRPr="00EF7FC0">
                  <w:rPr>
                    <w:rFonts w:ascii="IBM Plex Serif" w:hAnsi="IBM Plex Serif"/>
                  </w:rPr>
                  <w:t>Kötelező</w:t>
                </w:r>
              </w:p>
            </w:tc>
          </w:sdtContent>
        </w:sdt>
      </w:tr>
      <w:tr w:rsidR="00AA4361" w:rsidRPr="00EF7FC0" w:rsidTr="00701AFB">
        <w:trPr>
          <w:cantSplit/>
          <w:trHeight w:val="408"/>
        </w:trPr>
        <w:tc>
          <w:tcPr>
            <w:tcW w:w="4286" w:type="dxa"/>
            <w:gridSpan w:val="7"/>
          </w:tcPr>
          <w:p w:rsidR="00AA4361" w:rsidRPr="00EF7FC0" w:rsidRDefault="00AA4361" w:rsidP="00202476">
            <w:pPr>
              <w:rPr>
                <w:rFonts w:ascii="IBM Plex Serif" w:hAnsi="IBM Plex Serif"/>
                <w:b/>
                <w:bCs/>
              </w:rPr>
            </w:pPr>
          </w:p>
        </w:tc>
        <w:tc>
          <w:tcPr>
            <w:tcW w:w="2702" w:type="dxa"/>
            <w:gridSpan w:val="6"/>
            <w:vMerge/>
            <w:shd w:val="clear" w:color="auto" w:fill="BDD6EE" w:themeFill="accent1" w:themeFillTint="66"/>
          </w:tcPr>
          <w:p w:rsidR="00AA4361" w:rsidRPr="00EF7FC0" w:rsidRDefault="00AA4361" w:rsidP="00202476">
            <w:pPr>
              <w:rPr>
                <w:rFonts w:ascii="IBM Plex Serif" w:hAnsi="IBM Plex Serif"/>
                <w:b/>
              </w:rPr>
            </w:pPr>
          </w:p>
        </w:tc>
        <w:tc>
          <w:tcPr>
            <w:tcW w:w="2636" w:type="dxa"/>
            <w:gridSpan w:val="2"/>
            <w:vMerge/>
          </w:tcPr>
          <w:p w:rsidR="00AA4361" w:rsidRPr="00EF7FC0" w:rsidRDefault="00AA4361" w:rsidP="00202476">
            <w:pPr>
              <w:rPr>
                <w:rFonts w:ascii="IBM Plex Serif" w:hAnsi="IBM Plex Serif"/>
              </w:rPr>
            </w:pPr>
          </w:p>
        </w:tc>
      </w:tr>
      <w:tr w:rsidR="00AA4361" w:rsidRPr="00EF7FC0" w:rsidTr="00701AFB">
        <w:trPr>
          <w:cantSplit/>
          <w:trHeight w:val="345"/>
        </w:trPr>
        <w:tc>
          <w:tcPr>
            <w:tcW w:w="4694" w:type="dxa"/>
            <w:gridSpan w:val="9"/>
            <w:shd w:val="clear" w:color="auto" w:fill="BDD6EE" w:themeFill="accent1" w:themeFillTint="66"/>
          </w:tcPr>
          <w:p w:rsidR="00AA4361" w:rsidRPr="00EF7FC0" w:rsidRDefault="00AA4361" w:rsidP="007D3E9C">
            <w:pPr>
              <w:rPr>
                <w:rFonts w:ascii="IBM Plex Serif" w:hAnsi="IBM Plex Serif"/>
                <w:b/>
                <w:bCs/>
              </w:rPr>
            </w:pPr>
            <w:r w:rsidRPr="00EF7FC0">
              <w:rPr>
                <w:rFonts w:ascii="IBM Plex Serif" w:hAnsi="IBM Plex Serif"/>
                <w:b/>
                <w:bCs/>
              </w:rPr>
              <w:t>Tantárgyfelelős oktató neve</w:t>
            </w:r>
            <w:r w:rsidR="007D3E9C" w:rsidRPr="00EF7FC0">
              <w:rPr>
                <w:rFonts w:ascii="IBM Plex Serif" w:hAnsi="IBM Plex Serif"/>
                <w:b/>
                <w:bCs/>
                <w:vertAlign w:val="superscript"/>
              </w:rPr>
              <w:t>2</w:t>
            </w:r>
            <w:r w:rsidRPr="00EF7FC0">
              <w:rPr>
                <w:rFonts w:ascii="IBM Plex Serif" w:hAnsi="IBM Plex Serif"/>
                <w:b/>
                <w:bCs/>
              </w:rPr>
              <w:t xml:space="preserve">: </w:t>
            </w:r>
          </w:p>
        </w:tc>
        <w:tc>
          <w:tcPr>
            <w:tcW w:w="4930" w:type="dxa"/>
            <w:gridSpan w:val="6"/>
            <w:shd w:val="clear" w:color="auto" w:fill="BDD6EE" w:themeFill="accent1" w:themeFillTint="66"/>
          </w:tcPr>
          <w:p w:rsidR="00AA4361" w:rsidRPr="00EF7FC0" w:rsidRDefault="00AA4361" w:rsidP="007D3E9C">
            <w:pPr>
              <w:rPr>
                <w:rFonts w:ascii="IBM Plex Serif" w:hAnsi="IBM Plex Serif"/>
              </w:rPr>
            </w:pPr>
            <w:r w:rsidRPr="00EF7FC0">
              <w:rPr>
                <w:rFonts w:ascii="IBM Plex Serif" w:hAnsi="IBM Plex Serif"/>
                <w:b/>
                <w:bCs/>
              </w:rPr>
              <w:t>Tárgyfelelős egység neve</w:t>
            </w:r>
            <w:r w:rsidR="007D3E9C" w:rsidRPr="00EF7FC0">
              <w:rPr>
                <w:rStyle w:val="Lbjegyzet-hivatkozs"/>
                <w:rFonts w:ascii="IBM Plex Serif" w:hAnsi="IBM Plex Serif"/>
                <w:b/>
                <w:bCs/>
              </w:rPr>
              <w:t>3</w:t>
            </w:r>
            <w:r w:rsidRPr="00EF7FC0">
              <w:rPr>
                <w:rFonts w:ascii="IBM Plex Serif" w:hAnsi="IBM Plex Serif"/>
                <w:b/>
                <w:bCs/>
              </w:rPr>
              <w:t>:</w:t>
            </w:r>
          </w:p>
        </w:tc>
      </w:tr>
      <w:tr w:rsidR="00AA4361" w:rsidRPr="00EF7FC0" w:rsidTr="00701AFB">
        <w:trPr>
          <w:cantSplit/>
          <w:trHeight w:val="345"/>
        </w:trPr>
        <w:tc>
          <w:tcPr>
            <w:tcW w:w="4694" w:type="dxa"/>
            <w:gridSpan w:val="9"/>
          </w:tcPr>
          <w:p w:rsidR="00AA4361" w:rsidRPr="00EF7FC0" w:rsidRDefault="00ED60AA" w:rsidP="00C04760">
            <w:pPr>
              <w:rPr>
                <w:rFonts w:ascii="IBM Plex Serif" w:hAnsi="IBM Plex Serif"/>
                <w:b/>
                <w:bCs/>
              </w:rPr>
            </w:pPr>
            <w:r w:rsidRPr="00EF7FC0">
              <w:rPr>
                <w:rFonts w:ascii="IBM Plex Serif" w:hAnsi="IBM Plex Serif"/>
                <w:b/>
                <w:bCs/>
              </w:rPr>
              <w:t>Dr. Varga Csilla</w:t>
            </w:r>
          </w:p>
        </w:tc>
        <w:tc>
          <w:tcPr>
            <w:tcW w:w="4930" w:type="dxa"/>
            <w:gridSpan w:val="6"/>
            <w:shd w:val="clear" w:color="auto" w:fill="FFFFFF" w:themeFill="background1"/>
          </w:tcPr>
          <w:p w:rsidR="00AA4361" w:rsidRPr="00EF7FC0" w:rsidRDefault="008B3EFE" w:rsidP="004B62CF">
            <w:pPr>
              <w:rPr>
                <w:rFonts w:ascii="IBM Plex Serif" w:hAnsi="IBM Plex Serif"/>
                <w:b/>
                <w:bCs/>
              </w:rPr>
            </w:pPr>
            <w:r w:rsidRPr="00EF7FC0">
              <w:rPr>
                <w:rFonts w:ascii="IBM Plex Serif" w:hAnsi="IBM Plex Serif"/>
                <w:b/>
                <w:bCs/>
              </w:rPr>
              <w:t>Bio-, Környezet- és Vegyészmérnöki Kutató Fejlesztő Központ, Mérnöki Kar</w:t>
            </w:r>
          </w:p>
        </w:tc>
      </w:tr>
      <w:tr w:rsidR="00AA4361" w:rsidRPr="00EF7FC0" w:rsidTr="00701AFB">
        <w:trPr>
          <w:cantSplit/>
          <w:trHeight w:val="409"/>
        </w:trPr>
        <w:tc>
          <w:tcPr>
            <w:tcW w:w="2253" w:type="dxa"/>
            <w:gridSpan w:val="2"/>
            <w:shd w:val="clear" w:color="auto" w:fill="BDD6EE" w:themeFill="accent1" w:themeFillTint="66"/>
          </w:tcPr>
          <w:p w:rsidR="00AA4361" w:rsidRPr="00EF7FC0" w:rsidRDefault="00AA4361" w:rsidP="001C0924">
            <w:pPr>
              <w:jc w:val="left"/>
              <w:rPr>
                <w:rFonts w:ascii="IBM Plex Serif" w:hAnsi="IBM Plex Serif"/>
                <w:b/>
                <w:bCs/>
              </w:rPr>
            </w:pPr>
            <w:r w:rsidRPr="00EF7FC0">
              <w:rPr>
                <w:rFonts w:ascii="IBM Plex Serif" w:hAnsi="IBM Plex Serif"/>
                <w:b/>
                <w:bCs/>
              </w:rPr>
              <w:t>Az oktatás féléve:</w:t>
            </w:r>
          </w:p>
        </w:tc>
        <w:tc>
          <w:tcPr>
            <w:tcW w:w="676" w:type="dxa"/>
            <w:shd w:val="clear" w:color="auto" w:fill="BDD6EE" w:themeFill="accent1" w:themeFillTint="66"/>
          </w:tcPr>
          <w:p w:rsidR="00AA4361" w:rsidRPr="00EF7FC0" w:rsidRDefault="00AA4361" w:rsidP="00202476">
            <w:pPr>
              <w:rPr>
                <w:rFonts w:ascii="IBM Plex Serif" w:hAnsi="IBM Plex Serif"/>
                <w:b/>
                <w:bCs/>
              </w:rPr>
            </w:pPr>
            <w:r w:rsidRPr="00EF7FC0">
              <w:rPr>
                <w:rFonts w:ascii="IBM Plex Serif" w:hAnsi="IBM Plex Serif"/>
                <w:b/>
                <w:bCs/>
              </w:rPr>
              <w:t>őszi</w:t>
            </w:r>
          </w:p>
        </w:tc>
        <w:sdt>
          <w:sdtPr>
            <w:rPr>
              <w:rFonts w:ascii="IBM Plex Serif" w:hAnsi="IBM Plex Serif"/>
              <w:b/>
              <w:bCs/>
            </w:rPr>
            <w:id w:val="-1048535212"/>
            <w14:checkbox>
              <w14:checked w14:val="0"/>
              <w14:checkedState w14:val="2612" w14:font="MS Gothic"/>
              <w14:uncheckedState w14:val="2610" w14:font="MS Gothic"/>
            </w14:checkbox>
          </w:sdtPr>
          <w:sdtEndPr/>
          <w:sdtContent>
            <w:tc>
              <w:tcPr>
                <w:tcW w:w="411" w:type="dxa"/>
                <w:gridSpan w:val="3"/>
              </w:tcPr>
              <w:p w:rsidR="00AA4361" w:rsidRPr="00EF7FC0" w:rsidRDefault="006D0EF0" w:rsidP="00202476">
                <w:pPr>
                  <w:rPr>
                    <w:rFonts w:ascii="IBM Plex Serif" w:hAnsi="IBM Plex Serif"/>
                    <w:b/>
                    <w:bCs/>
                  </w:rPr>
                </w:pPr>
                <w:r w:rsidRPr="00EF7FC0">
                  <w:rPr>
                    <w:rFonts w:ascii="Segoe UI Symbol" w:eastAsia="MS Gothic" w:hAnsi="Segoe UI Symbol" w:cs="Segoe UI Symbol"/>
                    <w:b/>
                    <w:bCs/>
                  </w:rPr>
                  <w:t>☐</w:t>
                </w:r>
              </w:p>
            </w:tc>
          </w:sdtContent>
        </w:sdt>
        <w:tc>
          <w:tcPr>
            <w:tcW w:w="999" w:type="dxa"/>
            <w:gridSpan w:val="2"/>
            <w:shd w:val="clear" w:color="auto" w:fill="BDD6EE" w:themeFill="accent1" w:themeFillTint="66"/>
          </w:tcPr>
          <w:p w:rsidR="00AA4361" w:rsidRPr="00EF7FC0" w:rsidRDefault="00AA4361" w:rsidP="00202476">
            <w:pPr>
              <w:rPr>
                <w:rFonts w:ascii="IBM Plex Serif" w:hAnsi="IBM Plex Serif"/>
                <w:b/>
                <w:bCs/>
              </w:rPr>
            </w:pPr>
            <w:r w:rsidRPr="00EF7FC0">
              <w:rPr>
                <w:rFonts w:ascii="IBM Plex Serif" w:hAnsi="IBM Plex Serif"/>
                <w:b/>
                <w:bCs/>
              </w:rPr>
              <w:t>tavaszi</w:t>
            </w:r>
          </w:p>
        </w:tc>
        <w:sdt>
          <w:sdtPr>
            <w:rPr>
              <w:rFonts w:ascii="IBM Plex Serif" w:hAnsi="IBM Plex Serif"/>
              <w:b/>
              <w:bCs/>
            </w:rPr>
            <w:id w:val="-850797051"/>
            <w14:checkbox>
              <w14:checked w14:val="0"/>
              <w14:checkedState w14:val="2612" w14:font="MS Gothic"/>
              <w14:uncheckedState w14:val="2610" w14:font="MS Gothic"/>
            </w14:checkbox>
          </w:sdtPr>
          <w:sdtEndPr/>
          <w:sdtContent>
            <w:tc>
              <w:tcPr>
                <w:tcW w:w="355" w:type="dxa"/>
              </w:tcPr>
              <w:p w:rsidR="00AA4361" w:rsidRPr="00EF7FC0" w:rsidRDefault="00C04760" w:rsidP="00202476">
                <w:pPr>
                  <w:rPr>
                    <w:rFonts w:ascii="IBM Plex Serif" w:hAnsi="IBM Plex Serif"/>
                    <w:b/>
                    <w:bCs/>
                  </w:rPr>
                </w:pPr>
                <w:r w:rsidRPr="00EF7FC0">
                  <w:rPr>
                    <w:rFonts w:ascii="Segoe UI Symbol" w:eastAsia="MS Gothic" w:hAnsi="Segoe UI Symbol" w:cs="Segoe UI Symbol"/>
                    <w:b/>
                    <w:bCs/>
                  </w:rPr>
                  <w:t>☐</w:t>
                </w:r>
              </w:p>
            </w:tc>
          </w:sdtContent>
        </w:sdt>
        <w:tc>
          <w:tcPr>
            <w:tcW w:w="1362" w:type="dxa"/>
            <w:shd w:val="clear" w:color="auto" w:fill="BDD6EE" w:themeFill="accent1" w:themeFillTint="66"/>
          </w:tcPr>
          <w:p w:rsidR="00AA4361" w:rsidRPr="00EF7FC0" w:rsidRDefault="00AA4361" w:rsidP="00202476">
            <w:pPr>
              <w:rPr>
                <w:rFonts w:ascii="IBM Plex Serif" w:hAnsi="IBM Plex Serif"/>
                <w:b/>
                <w:bCs/>
              </w:rPr>
            </w:pPr>
            <w:r w:rsidRPr="00EF7FC0">
              <w:rPr>
                <w:rFonts w:ascii="IBM Plex Serif" w:hAnsi="IBM Plex Serif"/>
                <w:b/>
                <w:bCs/>
              </w:rPr>
              <w:t>mindkettő</w:t>
            </w:r>
          </w:p>
        </w:tc>
        <w:sdt>
          <w:sdtPr>
            <w:rPr>
              <w:rFonts w:ascii="IBM Plex Serif" w:hAnsi="IBM Plex Serif"/>
              <w:b/>
              <w:bCs/>
            </w:rPr>
            <w:id w:val="-790827090"/>
            <w14:checkbox>
              <w14:checked w14:val="1"/>
              <w14:checkedState w14:val="2612" w14:font="MS Gothic"/>
              <w14:uncheckedState w14:val="2610" w14:font="MS Gothic"/>
            </w14:checkbox>
          </w:sdtPr>
          <w:sdtEndPr/>
          <w:sdtContent>
            <w:tc>
              <w:tcPr>
                <w:tcW w:w="410" w:type="dxa"/>
              </w:tcPr>
              <w:p w:rsidR="00AA4361" w:rsidRPr="00EF7FC0" w:rsidRDefault="00C04760" w:rsidP="00202476">
                <w:pPr>
                  <w:rPr>
                    <w:rFonts w:ascii="IBM Plex Serif" w:hAnsi="IBM Plex Serif"/>
                    <w:b/>
                    <w:bCs/>
                  </w:rPr>
                </w:pPr>
                <w:r w:rsidRPr="00EF7FC0">
                  <w:rPr>
                    <w:rFonts w:ascii="Segoe UI Symbol" w:eastAsia="MS Gothic" w:hAnsi="Segoe UI Symbol" w:cs="Segoe UI Symbol"/>
                    <w:b/>
                    <w:bCs/>
                  </w:rPr>
                  <w:t>☒</w:t>
                </w:r>
              </w:p>
            </w:tc>
          </w:sdtContent>
        </w:sdt>
        <w:tc>
          <w:tcPr>
            <w:tcW w:w="1730" w:type="dxa"/>
            <w:gridSpan w:val="3"/>
            <w:shd w:val="clear" w:color="auto" w:fill="BDD6EE" w:themeFill="accent1" w:themeFillTint="66"/>
          </w:tcPr>
          <w:p w:rsidR="00AA4361" w:rsidRPr="00EF7FC0" w:rsidRDefault="00AA4361" w:rsidP="00202476">
            <w:pPr>
              <w:rPr>
                <w:rFonts w:ascii="IBM Plex Serif" w:hAnsi="IBM Plex Serif"/>
                <w:b/>
                <w:bCs/>
              </w:rPr>
            </w:pPr>
            <w:r w:rsidRPr="00EF7FC0">
              <w:rPr>
                <w:rFonts w:ascii="IBM Plex Serif" w:hAnsi="IBM Plex Serif"/>
                <w:b/>
                <w:bCs/>
              </w:rPr>
              <w:t>Kreditértéke:</w:t>
            </w:r>
          </w:p>
        </w:tc>
        <w:tc>
          <w:tcPr>
            <w:tcW w:w="1428" w:type="dxa"/>
          </w:tcPr>
          <w:p w:rsidR="00AA4361" w:rsidRPr="00EF7FC0" w:rsidRDefault="00ED60AA" w:rsidP="00202476">
            <w:pPr>
              <w:rPr>
                <w:rFonts w:ascii="IBM Plex Serif" w:hAnsi="IBM Plex Serif"/>
                <w:b/>
                <w:bCs/>
              </w:rPr>
            </w:pPr>
            <w:r w:rsidRPr="00EF7FC0">
              <w:rPr>
                <w:rFonts w:ascii="IBM Plex Serif" w:hAnsi="IBM Plex Serif"/>
                <w:b/>
                <w:bCs/>
              </w:rPr>
              <w:t>6</w:t>
            </w:r>
          </w:p>
        </w:tc>
      </w:tr>
      <w:tr w:rsidR="00105117" w:rsidRPr="00EF7FC0" w:rsidTr="00701AFB">
        <w:trPr>
          <w:cantSplit/>
          <w:trHeight w:val="415"/>
        </w:trPr>
        <w:tc>
          <w:tcPr>
            <w:tcW w:w="1403" w:type="dxa"/>
            <w:tcBorders>
              <w:top w:val="single" w:sz="4" w:space="0" w:color="auto"/>
              <w:left w:val="single" w:sz="12" w:space="0" w:color="auto"/>
              <w:bottom w:val="single" w:sz="4" w:space="0" w:color="auto"/>
              <w:right w:val="single" w:sz="4" w:space="0" w:color="auto"/>
            </w:tcBorders>
            <w:shd w:val="clear" w:color="auto" w:fill="BDD6EE" w:themeFill="accent1" w:themeFillTint="66"/>
            <w:vAlign w:val="center"/>
          </w:tcPr>
          <w:p w:rsidR="000214FF" w:rsidRPr="00EF7FC0" w:rsidRDefault="000214FF" w:rsidP="000214FF">
            <w:pPr>
              <w:rPr>
                <w:rFonts w:ascii="IBM Plex Serif" w:hAnsi="IBM Plex Serif"/>
                <w:b/>
                <w:bCs/>
              </w:rPr>
            </w:pPr>
            <w:r w:rsidRPr="00EF7FC0">
              <w:rPr>
                <w:rFonts w:ascii="IBM Plex Serif" w:hAnsi="IBM Plex Serif"/>
                <w:b/>
                <w:bCs/>
              </w:rPr>
              <w:t>Óraigény</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F7FC0" w:rsidRDefault="000214FF" w:rsidP="000214FF">
            <w:pPr>
              <w:rPr>
                <w:rFonts w:ascii="IBM Plex Serif" w:hAnsi="IBM Plex Serif"/>
                <w:b/>
                <w:bCs/>
              </w:rPr>
            </w:pPr>
            <w:r w:rsidRPr="00EF7FC0">
              <w:rPr>
                <w:rFonts w:ascii="IBM Plex Serif" w:hAnsi="IBM Plex Serif"/>
                <w:b/>
                <w:bCs/>
              </w:rPr>
              <w:t>e.</w:t>
            </w:r>
          </w:p>
        </w:tc>
        <w:tc>
          <w:tcPr>
            <w:tcW w:w="814"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F7FC0" w:rsidRDefault="000214FF" w:rsidP="000214FF">
            <w:pPr>
              <w:rPr>
                <w:rFonts w:ascii="IBM Plex Serif" w:hAnsi="IBM Plex Serif"/>
                <w:b/>
                <w:bCs/>
              </w:rPr>
            </w:pPr>
            <w:r w:rsidRPr="00EF7FC0">
              <w:rPr>
                <w:rFonts w:ascii="IBM Plex Serif" w:hAnsi="IBM Plex Serif"/>
                <w:b/>
                <w:bCs/>
              </w:rPr>
              <w:t>szem.</w:t>
            </w:r>
          </w:p>
        </w:tc>
        <w:tc>
          <w:tcPr>
            <w:tcW w:w="1272"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F7FC0" w:rsidRDefault="000214FF" w:rsidP="000214FF">
            <w:pPr>
              <w:rPr>
                <w:rFonts w:ascii="IBM Plex Serif" w:hAnsi="IBM Plex Serif"/>
                <w:b/>
                <w:bCs/>
              </w:rPr>
            </w:pPr>
            <w:r w:rsidRPr="00EF7FC0">
              <w:rPr>
                <w:rFonts w:ascii="IBM Plex Serif" w:hAnsi="IBM Plex Serif"/>
                <w:b/>
                <w:bCs/>
              </w:rPr>
              <w:t>lab.gyak.</w:t>
            </w:r>
          </w:p>
        </w:tc>
        <w:tc>
          <w:tcPr>
            <w:tcW w:w="2379"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F7FC0" w:rsidRDefault="000214FF" w:rsidP="007D3E9C">
            <w:pPr>
              <w:rPr>
                <w:rFonts w:ascii="IBM Plex Serif" w:hAnsi="IBM Plex Serif"/>
                <w:b/>
                <w:bCs/>
              </w:rPr>
            </w:pPr>
            <w:r w:rsidRPr="00EF7FC0">
              <w:rPr>
                <w:rFonts w:ascii="IBM Plex Serif" w:hAnsi="IBM Plex Serif"/>
                <w:b/>
                <w:bCs/>
              </w:rPr>
              <w:t>Számonkérés formája</w:t>
            </w:r>
            <w:r w:rsidR="007D3E9C" w:rsidRPr="00EF7FC0">
              <w:rPr>
                <w:rStyle w:val="Lbjegyzet-hivatkozs"/>
                <w:rFonts w:ascii="IBM Plex Serif" w:hAnsi="IBM Plex Serif"/>
                <w:b/>
                <w:bCs/>
              </w:rPr>
              <w:t>4</w:t>
            </w:r>
            <w:r w:rsidR="005E149E" w:rsidRPr="00EF7FC0">
              <w:rPr>
                <w:rFonts w:ascii="IBM Plex Serif" w:hAnsi="IBM Plex Serif"/>
                <w:b/>
                <w:bCs/>
              </w:rPr>
              <w:t>:</w:t>
            </w:r>
            <w:r w:rsidRPr="00EF7FC0">
              <w:rPr>
                <w:rFonts w:ascii="IBM Plex Serif" w:hAnsi="IBM Plex Serif"/>
                <w:b/>
                <w:bCs/>
              </w:rPr>
              <w:t xml:space="preserve"> </w:t>
            </w:r>
          </w:p>
        </w:tc>
        <w:sdt>
          <w:sdtPr>
            <w:rPr>
              <w:rFonts w:ascii="IBM Plex Serif" w:hAnsi="IBM Plex Serif"/>
              <w:b/>
              <w:bCs/>
              <w:sz w:val="22"/>
              <w:szCs w:val="22"/>
            </w:rPr>
            <w:id w:val="-1870829293"/>
            <w:lock w:val="sdtLocked"/>
            <w:placeholder>
              <w:docPart w:val="CF3850B6BEEE4E6DA1B7C73FE2F585BE"/>
            </w:placeholder>
            <w:dropDownList>
              <w:listItem w:value="Jelöljön ki egy elemet."/>
              <w:listItem w:displayText="Folyamatos számonkérés (F)" w:value="Folyamatos számonkérés (F)"/>
              <w:listItem w:displayText="Félévközi jegy (É)" w:value="Félévközi jegy (É)"/>
              <w:listItem w:displayText="Kollokvium (K)" w:value="Kollokvium (K)"/>
              <w:listItem w:displayText="Vizsga (V)" w:value="Vizsga (V)"/>
              <w:listItem w:displayText="Aláírás megszerzése (A)" w:value="Aláírás megszerzése (A)"/>
            </w:dropDownList>
          </w:sdtPr>
          <w:sdtEndPr/>
          <w:sdtContent>
            <w:tc>
              <w:tcPr>
                <w:tcW w:w="2906" w:type="dxa"/>
                <w:gridSpan w:val="3"/>
                <w:shd w:val="clear" w:color="auto" w:fill="FFFFFF" w:themeFill="background1"/>
              </w:tcPr>
              <w:p w:rsidR="000214FF" w:rsidRPr="00EF7FC0" w:rsidRDefault="00ED60AA" w:rsidP="000214FF">
                <w:pPr>
                  <w:rPr>
                    <w:rFonts w:ascii="IBM Plex Serif" w:hAnsi="IBM Plex Serif"/>
                    <w:b/>
                    <w:bCs/>
                    <w:sz w:val="22"/>
                    <w:szCs w:val="22"/>
                  </w:rPr>
                </w:pPr>
                <w:r w:rsidRPr="00EF7FC0">
                  <w:rPr>
                    <w:rFonts w:ascii="IBM Plex Serif" w:hAnsi="IBM Plex Serif"/>
                    <w:b/>
                    <w:bCs/>
                    <w:sz w:val="22"/>
                    <w:szCs w:val="22"/>
                  </w:rPr>
                  <w:t>Folyamatos számonkérés (F)</w:t>
                </w:r>
              </w:p>
            </w:tc>
          </w:sdtContent>
        </w:sdt>
      </w:tr>
      <w:tr w:rsidR="00AA4361" w:rsidRPr="00EF7FC0" w:rsidTr="0051261F">
        <w:trPr>
          <w:cantSplit/>
          <w:trHeight w:val="556"/>
        </w:trPr>
        <w:tc>
          <w:tcPr>
            <w:tcW w:w="1403" w:type="dxa"/>
            <w:shd w:val="clear" w:color="auto" w:fill="BDD6EE" w:themeFill="accent1" w:themeFillTint="66"/>
          </w:tcPr>
          <w:p w:rsidR="000214FF" w:rsidRPr="00EF7FC0" w:rsidRDefault="000214FF" w:rsidP="007D3E9C">
            <w:pPr>
              <w:rPr>
                <w:rFonts w:ascii="IBM Plex Serif" w:hAnsi="IBM Plex Serif"/>
              </w:rPr>
            </w:pPr>
            <w:r w:rsidRPr="00EF7FC0">
              <w:rPr>
                <w:rFonts w:ascii="IBM Plex Serif" w:hAnsi="IBM Plex Serif"/>
              </w:rPr>
              <w:t>Nappali (óra/hét)</w:t>
            </w:r>
            <w:r w:rsidR="007D3E9C" w:rsidRPr="00EF7FC0">
              <w:rPr>
                <w:rStyle w:val="Lbjegyzet-hivatkozs"/>
                <w:rFonts w:ascii="IBM Plex Serif" w:hAnsi="IBM Plex Serif"/>
              </w:rPr>
              <w:t>5</w:t>
            </w:r>
          </w:p>
        </w:tc>
        <w:tc>
          <w:tcPr>
            <w:tcW w:w="850" w:type="dxa"/>
            <w:shd w:val="clear" w:color="auto" w:fill="auto"/>
          </w:tcPr>
          <w:p w:rsidR="000214FF" w:rsidRPr="00EF7FC0" w:rsidRDefault="000214FF" w:rsidP="000214FF">
            <w:pPr>
              <w:rPr>
                <w:rFonts w:ascii="IBM Plex Serif" w:hAnsi="IBM Plex Serif"/>
              </w:rPr>
            </w:pPr>
          </w:p>
        </w:tc>
        <w:tc>
          <w:tcPr>
            <w:tcW w:w="814" w:type="dxa"/>
            <w:gridSpan w:val="2"/>
            <w:shd w:val="clear" w:color="auto" w:fill="auto"/>
          </w:tcPr>
          <w:p w:rsidR="000214FF" w:rsidRPr="00EF7FC0" w:rsidRDefault="000214FF" w:rsidP="000214FF">
            <w:pPr>
              <w:rPr>
                <w:rFonts w:ascii="IBM Plex Serif" w:hAnsi="IBM Plex Serif"/>
              </w:rPr>
            </w:pPr>
          </w:p>
        </w:tc>
        <w:tc>
          <w:tcPr>
            <w:tcW w:w="1272" w:type="dxa"/>
            <w:gridSpan w:val="4"/>
            <w:shd w:val="clear" w:color="auto" w:fill="auto"/>
          </w:tcPr>
          <w:p w:rsidR="000214FF" w:rsidRPr="00EF7FC0"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14FF" w:rsidRPr="00EF7FC0" w:rsidRDefault="000214FF" w:rsidP="000214FF">
            <w:pPr>
              <w:rPr>
                <w:rFonts w:ascii="IBM Plex Serif" w:hAnsi="IBM Plex Serif"/>
                <w:b/>
                <w:bCs/>
              </w:rPr>
            </w:pPr>
            <w:r w:rsidRPr="00EF7FC0">
              <w:rPr>
                <w:rFonts w:ascii="IBM Plex Serif" w:hAnsi="IBM Plex Serif"/>
                <w:b/>
                <w:bCs/>
              </w:rPr>
              <w:t>Értékelés típusa:</w:t>
            </w:r>
          </w:p>
        </w:tc>
        <w:sdt>
          <w:sdtPr>
            <w:rPr>
              <w:rFonts w:ascii="IBM Plex Serif" w:hAnsi="IBM Plex Serif"/>
            </w:rPr>
            <w:id w:val="495083543"/>
            <w:lock w:val="sdtLocked"/>
            <w:placeholder>
              <w:docPart w:val="7364E883334A480FB8A1102BCA9FC444"/>
            </w:placeholder>
            <w:dropDownList>
              <w:listItem w:value="Jelöljön ki egy elemet."/>
              <w:listItem w:displayText="ötfokozatú" w:value="ötfokozatú"/>
              <w:listItem w:displayText="háromfokozatú" w:value="háromfokozatú"/>
              <w:listItem w:displayText="kétfokozatú" w:value="kétfokozatú"/>
            </w:dropDownList>
          </w:sdtPr>
          <w:sdtEndPr/>
          <w:sdtContent>
            <w:tc>
              <w:tcPr>
                <w:tcW w:w="2906" w:type="dxa"/>
                <w:gridSpan w:val="3"/>
              </w:tcPr>
              <w:p w:rsidR="000214FF" w:rsidRPr="00EF7FC0" w:rsidRDefault="00833E86" w:rsidP="000214FF">
                <w:pPr>
                  <w:rPr>
                    <w:rFonts w:ascii="IBM Plex Serif" w:hAnsi="IBM Plex Serif"/>
                  </w:rPr>
                </w:pPr>
                <w:r w:rsidRPr="00EF7FC0">
                  <w:rPr>
                    <w:rFonts w:ascii="IBM Plex Serif" w:hAnsi="IBM Plex Serif"/>
                  </w:rPr>
                  <w:t>ötfokozatú</w:t>
                </w:r>
              </w:p>
            </w:tc>
          </w:sdtContent>
        </w:sdt>
      </w:tr>
      <w:tr w:rsidR="00AA4361" w:rsidRPr="00EF7FC0" w:rsidTr="0051261F">
        <w:trPr>
          <w:cantSplit/>
          <w:trHeight w:val="693"/>
        </w:trPr>
        <w:tc>
          <w:tcPr>
            <w:tcW w:w="1403" w:type="dxa"/>
            <w:shd w:val="clear" w:color="auto" w:fill="BDD6EE" w:themeFill="accent1" w:themeFillTint="66"/>
          </w:tcPr>
          <w:p w:rsidR="000214FF" w:rsidRPr="00EF7FC0" w:rsidRDefault="000214FF" w:rsidP="007D3E9C">
            <w:pPr>
              <w:rPr>
                <w:rFonts w:ascii="IBM Plex Serif" w:hAnsi="IBM Plex Serif"/>
              </w:rPr>
            </w:pPr>
            <w:r w:rsidRPr="00EF7FC0">
              <w:rPr>
                <w:rFonts w:ascii="IBM Plex Serif" w:hAnsi="IBM Plex Serif"/>
              </w:rPr>
              <w:t>Levelező (óra/félév)</w:t>
            </w:r>
            <w:r w:rsidR="007D3E9C" w:rsidRPr="00EF7FC0">
              <w:rPr>
                <w:rStyle w:val="Lbjegyzet-hivatkozs"/>
                <w:rFonts w:ascii="IBM Plex Serif" w:hAnsi="IBM Plex Serif"/>
              </w:rPr>
              <w:t>6</w:t>
            </w:r>
          </w:p>
        </w:tc>
        <w:tc>
          <w:tcPr>
            <w:tcW w:w="850" w:type="dxa"/>
            <w:shd w:val="clear" w:color="auto" w:fill="auto"/>
          </w:tcPr>
          <w:p w:rsidR="000214FF" w:rsidRPr="00EF7FC0" w:rsidRDefault="00ED60AA" w:rsidP="000214FF">
            <w:pPr>
              <w:rPr>
                <w:rFonts w:ascii="IBM Plex Serif" w:hAnsi="IBM Plex Serif"/>
              </w:rPr>
            </w:pPr>
            <w:r w:rsidRPr="00EF7FC0">
              <w:rPr>
                <w:rFonts w:ascii="IBM Plex Serif" w:hAnsi="IBM Plex Serif"/>
              </w:rPr>
              <w:t>10</w:t>
            </w:r>
          </w:p>
        </w:tc>
        <w:tc>
          <w:tcPr>
            <w:tcW w:w="814" w:type="dxa"/>
            <w:gridSpan w:val="2"/>
            <w:shd w:val="clear" w:color="auto" w:fill="auto"/>
          </w:tcPr>
          <w:p w:rsidR="000214FF" w:rsidRPr="00EF7FC0" w:rsidRDefault="00ED60AA" w:rsidP="000214FF">
            <w:pPr>
              <w:rPr>
                <w:rFonts w:ascii="IBM Plex Serif" w:hAnsi="IBM Plex Serif"/>
              </w:rPr>
            </w:pPr>
            <w:r w:rsidRPr="00EF7FC0">
              <w:rPr>
                <w:rFonts w:ascii="IBM Plex Serif" w:hAnsi="IBM Plex Serif"/>
              </w:rPr>
              <w:t>5</w:t>
            </w:r>
          </w:p>
        </w:tc>
        <w:tc>
          <w:tcPr>
            <w:tcW w:w="1272" w:type="dxa"/>
            <w:gridSpan w:val="4"/>
            <w:shd w:val="clear" w:color="auto" w:fill="auto"/>
          </w:tcPr>
          <w:p w:rsidR="000214FF" w:rsidRPr="00EF7FC0" w:rsidRDefault="00ED60AA" w:rsidP="000214FF">
            <w:pPr>
              <w:rPr>
                <w:rFonts w:ascii="IBM Plex Serif" w:hAnsi="IBM Plex Serif"/>
              </w:rPr>
            </w:pPr>
            <w:r w:rsidRPr="00EF7FC0">
              <w:rPr>
                <w:rFonts w:ascii="IBM Plex Serif" w:hAnsi="IBM Plex Serif"/>
              </w:rPr>
              <w:t>5</w:t>
            </w: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14FF" w:rsidRPr="00EF7FC0" w:rsidRDefault="000214FF" w:rsidP="007D3E9C">
            <w:pPr>
              <w:jc w:val="left"/>
              <w:rPr>
                <w:rFonts w:ascii="IBM Plex Serif" w:hAnsi="IBM Plex Serif"/>
                <w:b/>
                <w:bCs/>
              </w:rPr>
            </w:pPr>
            <w:r w:rsidRPr="00EF7FC0">
              <w:rPr>
                <w:rFonts w:ascii="IBM Plex Serif" w:hAnsi="IBM Plex Serif"/>
                <w:b/>
                <w:bCs/>
              </w:rPr>
              <w:t>A meghirdetés mintatantervei</w:t>
            </w:r>
            <w:r w:rsidR="007D3E9C" w:rsidRPr="00EF7FC0">
              <w:rPr>
                <w:rStyle w:val="Lbjegyzet-hivatkozs"/>
                <w:rFonts w:ascii="IBM Plex Serif" w:hAnsi="IBM Plex Serif"/>
                <w:b/>
                <w:bCs/>
              </w:rPr>
              <w:t>7</w:t>
            </w:r>
            <w:r w:rsidRPr="00EF7FC0">
              <w:rPr>
                <w:rFonts w:ascii="IBM Plex Serif" w:hAnsi="IBM Plex Serif"/>
                <w:b/>
                <w:bCs/>
              </w:rPr>
              <w:t>:</w:t>
            </w:r>
          </w:p>
        </w:tc>
        <w:tc>
          <w:tcPr>
            <w:tcW w:w="2906" w:type="dxa"/>
            <w:gridSpan w:val="3"/>
          </w:tcPr>
          <w:p w:rsidR="000214FF" w:rsidRPr="00EF7FC0" w:rsidRDefault="00473BD9" w:rsidP="000214FF">
            <w:pPr>
              <w:rPr>
                <w:rFonts w:ascii="IBM Plex Serif" w:hAnsi="IBM Plex Serif"/>
              </w:rPr>
            </w:pPr>
            <w:r>
              <w:rPr>
                <w:rFonts w:ascii="IBM Plex Serif" w:hAnsi="IBM Plex Serif"/>
              </w:rPr>
              <w:t>Körforgásos hulladékgazdálkodási szakember / szakmérnök</w:t>
            </w:r>
            <w:bookmarkStart w:id="1" w:name="_GoBack"/>
            <w:bookmarkEnd w:id="1"/>
          </w:p>
        </w:tc>
      </w:tr>
      <w:tr w:rsidR="000214FF" w:rsidRPr="00EF7FC0" w:rsidTr="00701AFB">
        <w:trPr>
          <w:cantSplit/>
        </w:trPr>
        <w:tc>
          <w:tcPr>
            <w:tcW w:w="9624" w:type="dxa"/>
            <w:gridSpan w:val="15"/>
            <w:shd w:val="clear" w:color="auto" w:fill="BDD6EE" w:themeFill="accent1" w:themeFillTint="66"/>
          </w:tcPr>
          <w:p w:rsidR="000214FF" w:rsidRPr="00EF7FC0" w:rsidRDefault="000214FF" w:rsidP="000214FF">
            <w:pPr>
              <w:jc w:val="center"/>
              <w:rPr>
                <w:rFonts w:ascii="IBM Plex Serif" w:hAnsi="IBM Plex Serif"/>
                <w:b/>
              </w:rPr>
            </w:pPr>
            <w:r w:rsidRPr="00EF7FC0">
              <w:rPr>
                <w:rFonts w:ascii="IBM Plex Serif" w:hAnsi="IBM Plex Serif"/>
                <w:b/>
                <w:bCs/>
              </w:rPr>
              <w:t>Oktatási cél és a</w:t>
            </w:r>
            <w:r w:rsidRPr="00EF7FC0">
              <w:rPr>
                <w:rFonts w:ascii="IBM Plex Serif" w:hAnsi="IBM Plex Serif"/>
                <w:b/>
              </w:rPr>
              <w:t>z előírt szakmai kompetenciáknak, kompetencia-elemeknek a felsorolása, amelyek kialakításához a tantárgy jellemzően, érdemben hozzájárul (tudás, képesség, attitűd, autonómiája és felelőssége)</w:t>
            </w:r>
            <w:r w:rsidR="00087B74" w:rsidRPr="00EF7FC0">
              <w:rPr>
                <w:rFonts w:ascii="IBM Plex Serif" w:hAnsi="IBM Plex Serif"/>
                <w:b/>
                <w:vertAlign w:val="superscript"/>
              </w:rPr>
              <w:t>8</w:t>
            </w:r>
            <w:r w:rsidR="00AA4361" w:rsidRPr="00EF7FC0">
              <w:rPr>
                <w:rFonts w:ascii="IBM Plex Serif" w:hAnsi="IBM Plex Serif"/>
                <w:b/>
              </w:rPr>
              <w:t>:</w:t>
            </w:r>
          </w:p>
        </w:tc>
      </w:tr>
      <w:tr w:rsidR="00105117" w:rsidRPr="00EF7FC0" w:rsidTr="00701AFB">
        <w:trPr>
          <w:cantSplit/>
        </w:trPr>
        <w:tc>
          <w:tcPr>
            <w:tcW w:w="1403" w:type="dxa"/>
          </w:tcPr>
          <w:p w:rsidR="00105117" w:rsidRPr="00EF7FC0" w:rsidRDefault="00105117" w:rsidP="005409BC">
            <w:pPr>
              <w:rPr>
                <w:rFonts w:ascii="IBM Plex Serif" w:hAnsi="IBM Plex Serif"/>
                <w:b/>
                <w:bCs/>
              </w:rPr>
            </w:pPr>
            <w:r w:rsidRPr="00EF7FC0">
              <w:rPr>
                <w:rFonts w:ascii="IBM Plex Serif" w:hAnsi="IBM Plex Serif"/>
                <w:b/>
                <w:bCs/>
              </w:rPr>
              <w:lastRenderedPageBreak/>
              <w:t>magyarul</w:t>
            </w:r>
          </w:p>
        </w:tc>
        <w:tc>
          <w:tcPr>
            <w:tcW w:w="8221" w:type="dxa"/>
            <w:gridSpan w:val="14"/>
          </w:tcPr>
          <w:p w:rsidR="008B3EFE" w:rsidRPr="00EF7FC0" w:rsidRDefault="008B3EFE" w:rsidP="008B3EFE">
            <w:pPr>
              <w:numPr>
                <w:ilvl w:val="0"/>
                <w:numId w:val="13"/>
              </w:numPr>
              <w:tabs>
                <w:tab w:val="left" w:pos="317"/>
              </w:tabs>
              <w:suppressAutoHyphens/>
              <w:autoSpaceDE/>
              <w:autoSpaceDN/>
              <w:jc w:val="left"/>
              <w:rPr>
                <w:rFonts w:ascii="IBM Plex Serif" w:hAnsi="IBM Plex Serif"/>
              </w:rPr>
            </w:pPr>
            <w:r w:rsidRPr="00EF7FC0">
              <w:rPr>
                <w:rFonts w:ascii="IBM Plex Serif" w:hAnsi="IBM Plex Serif"/>
              </w:rPr>
              <w:t>tudása</w:t>
            </w:r>
          </w:p>
          <w:p w:rsidR="008B3EFE" w:rsidRPr="00EF7FC0" w:rsidRDefault="008B3EFE" w:rsidP="008B3EFE">
            <w:pPr>
              <w:tabs>
                <w:tab w:val="left" w:pos="317"/>
              </w:tabs>
              <w:suppressAutoHyphens/>
              <w:ind w:left="176"/>
              <w:rPr>
                <w:rFonts w:ascii="IBM Plex Serif" w:hAnsi="IBM Plex Serif"/>
              </w:rPr>
            </w:pPr>
            <w:r w:rsidRPr="00EF7FC0">
              <w:rPr>
                <w:rFonts w:ascii="IBM Plex Serif" w:hAnsi="IBM Plex Serif"/>
              </w:rPr>
              <w:t>- T4 - Ismeri a hulladékgazdálkodási létesítmények (veszélyes és kommunális hulladéklerakó, hulladékégetőmű, mechanikai-biológiai hulladékkezelő mű, biogáz üzem, pirolízis üzem) üzemvitelét, műtárgyait, valamint azok fejlesztésének lehetőségeit.</w:t>
            </w:r>
          </w:p>
          <w:p w:rsidR="008B3EFE" w:rsidRPr="00EF7FC0" w:rsidRDefault="008B3EFE" w:rsidP="008B3EFE">
            <w:pPr>
              <w:tabs>
                <w:tab w:val="left" w:pos="317"/>
              </w:tabs>
              <w:suppressAutoHyphens/>
              <w:ind w:left="176"/>
              <w:rPr>
                <w:rFonts w:ascii="IBM Plex Serif" w:hAnsi="IBM Plex Serif"/>
              </w:rPr>
            </w:pPr>
            <w:r w:rsidRPr="00EF7FC0">
              <w:rPr>
                <w:rFonts w:ascii="IBM Plex Serif" w:hAnsi="IBM Plex Serif"/>
              </w:rPr>
              <w:t>-</w:t>
            </w:r>
            <w:r w:rsidRPr="00EF7FC0">
              <w:rPr>
                <w:rFonts w:ascii="IBM Plex Serif" w:hAnsi="IBM Plex Serif"/>
              </w:rPr>
              <w:tab/>
              <w:t>T7 - Ismeri a különböző hulladékok összetételét, keletkezését, a hulladékcsökkentés lehetséges módjait, valamint a technológiák.</w:t>
            </w:r>
          </w:p>
          <w:p w:rsidR="008B3EFE" w:rsidRPr="00EF7FC0" w:rsidRDefault="008B3EFE" w:rsidP="008B3EFE">
            <w:pPr>
              <w:numPr>
                <w:ilvl w:val="0"/>
                <w:numId w:val="13"/>
              </w:numPr>
              <w:tabs>
                <w:tab w:val="left" w:pos="317"/>
              </w:tabs>
              <w:suppressAutoHyphens/>
              <w:autoSpaceDE/>
              <w:autoSpaceDN/>
              <w:ind w:left="176" w:hanging="142"/>
              <w:jc w:val="left"/>
              <w:rPr>
                <w:rFonts w:ascii="IBM Plex Serif" w:hAnsi="IBM Plex Serif"/>
              </w:rPr>
            </w:pPr>
            <w:r w:rsidRPr="00EF7FC0">
              <w:rPr>
                <w:rFonts w:ascii="IBM Plex Serif" w:hAnsi="IBM Plex Serif"/>
              </w:rPr>
              <w:t>képességei</w:t>
            </w:r>
          </w:p>
          <w:p w:rsidR="008B3EFE" w:rsidRPr="00EF7FC0" w:rsidRDefault="008B3EFE" w:rsidP="008B3EFE">
            <w:pPr>
              <w:suppressAutoHyphens/>
              <w:ind w:left="176"/>
              <w:rPr>
                <w:rFonts w:ascii="IBM Plex Serif" w:hAnsi="IBM Plex Serif"/>
              </w:rPr>
            </w:pPr>
            <w:r w:rsidRPr="00EF7FC0">
              <w:rPr>
                <w:rFonts w:ascii="IBM Plex Serif" w:hAnsi="IBM Plex Serif"/>
              </w:rPr>
              <w:t xml:space="preserve">- K6 - Képes a hulladékgazdálkodáshoz kapcsolódó műszaki dokumentációk értelmezésére és feldolgozására, a gépek, berendezések, technológiák és folyamatok tervezéséhez, szervezéséhez és működtetéséhez használatos eljárások, modellek, információs technológiák alkalmazására és azok elemzésére illetve továbbfejlesztésére.  </w:t>
            </w:r>
          </w:p>
          <w:p w:rsidR="008B3EFE" w:rsidRPr="00EF7FC0" w:rsidRDefault="008B3EFE" w:rsidP="008B3EFE">
            <w:pPr>
              <w:suppressAutoHyphens/>
              <w:ind w:left="176"/>
              <w:rPr>
                <w:rFonts w:ascii="IBM Plex Serif" w:hAnsi="IBM Plex Serif"/>
              </w:rPr>
            </w:pPr>
            <w:r w:rsidRPr="00EF7FC0">
              <w:rPr>
                <w:rFonts w:ascii="IBM Plex Serif" w:hAnsi="IBM Plex Serif"/>
              </w:rPr>
              <w:t>- K8 - Képes a hulladékgazdálkodási feladatokhoz kapcsolódó műszaki, környezetvédelmi, gazdasági, társadalmi, hazai és EU jogi szakterületek ismereteinek és tevékenységinek áttekintésére.</w:t>
            </w:r>
          </w:p>
          <w:p w:rsidR="008B3EFE" w:rsidRPr="00EF7FC0" w:rsidRDefault="008B3EFE" w:rsidP="008B3EFE">
            <w:pPr>
              <w:numPr>
                <w:ilvl w:val="0"/>
                <w:numId w:val="13"/>
              </w:numPr>
              <w:tabs>
                <w:tab w:val="left" w:pos="317"/>
              </w:tabs>
              <w:suppressAutoHyphens/>
              <w:autoSpaceDE/>
              <w:autoSpaceDN/>
              <w:jc w:val="left"/>
              <w:rPr>
                <w:rFonts w:ascii="IBM Plex Serif" w:hAnsi="IBM Plex Serif"/>
              </w:rPr>
            </w:pPr>
            <w:r w:rsidRPr="00EF7FC0">
              <w:rPr>
                <w:rFonts w:ascii="IBM Plex Serif" w:hAnsi="IBM Plex Serif"/>
              </w:rPr>
              <w:t>attitűd</w:t>
            </w:r>
          </w:p>
          <w:p w:rsidR="008B3EFE" w:rsidRPr="00EF7FC0" w:rsidRDefault="008B3EFE" w:rsidP="008B3EFE">
            <w:pPr>
              <w:tabs>
                <w:tab w:val="left" w:pos="317"/>
              </w:tabs>
              <w:suppressAutoHyphens/>
              <w:ind w:left="176"/>
              <w:rPr>
                <w:rFonts w:ascii="IBM Plex Serif" w:hAnsi="IBM Plex Serif"/>
              </w:rPr>
            </w:pPr>
            <w:r w:rsidRPr="00EF7FC0">
              <w:rPr>
                <w:rFonts w:ascii="IBM Plex Serif" w:hAnsi="IBM Plex Serif"/>
              </w:rPr>
              <w:t>- A1 - Nyitott és fogékony a hulladékgazdálkodási szakterületen zajló szakmai, technológiai fejlesztés és innováció megismerésére, elfogadására, hiteles közvetítésére, illetve ismeretei és készségei folyamatos fejlesztésére.</w:t>
            </w:r>
          </w:p>
          <w:p w:rsidR="008B3EFE" w:rsidRPr="00EF7FC0" w:rsidRDefault="008B3EFE" w:rsidP="008B3EFE">
            <w:pPr>
              <w:numPr>
                <w:ilvl w:val="0"/>
                <w:numId w:val="13"/>
              </w:numPr>
              <w:tabs>
                <w:tab w:val="left" w:pos="317"/>
              </w:tabs>
              <w:suppressAutoHyphens/>
              <w:autoSpaceDE/>
              <w:autoSpaceDN/>
              <w:ind w:left="176" w:hanging="142"/>
              <w:jc w:val="left"/>
              <w:rPr>
                <w:rFonts w:ascii="IBM Plex Serif" w:hAnsi="IBM Plex Serif"/>
              </w:rPr>
            </w:pPr>
            <w:r w:rsidRPr="00EF7FC0">
              <w:rPr>
                <w:rFonts w:ascii="IBM Plex Serif" w:hAnsi="IBM Plex Serif"/>
              </w:rPr>
              <w:t>autonómiája és felelőssége</w:t>
            </w:r>
          </w:p>
          <w:p w:rsidR="008B3EFE" w:rsidRPr="00EF7FC0" w:rsidRDefault="008B3EFE" w:rsidP="008B3EFE">
            <w:pPr>
              <w:suppressAutoHyphens/>
              <w:ind w:left="176"/>
              <w:rPr>
                <w:rFonts w:ascii="IBM Plex Serif" w:hAnsi="IBM Plex Serif"/>
              </w:rPr>
            </w:pPr>
            <w:r w:rsidRPr="00EF7FC0">
              <w:rPr>
                <w:rFonts w:ascii="IBM Plex Serif" w:hAnsi="IBM Plex Serif"/>
              </w:rPr>
              <w:t>- F1 - Önállóan képes hulladékgazdálkodással kapcsolatos mérnöki feladatok megoldására, döntéseit körültekintően, jogi, gazdasági, környezetvédelmi szakterületek képviselőivel tanácskozva, önállóan hozza, melyért felelősséget vállal.</w:t>
            </w:r>
          </w:p>
          <w:p w:rsidR="008B3EFE" w:rsidRPr="00EF7FC0" w:rsidRDefault="008B3EFE" w:rsidP="008B3EFE">
            <w:pPr>
              <w:suppressAutoHyphens/>
              <w:ind w:left="176"/>
              <w:rPr>
                <w:rFonts w:ascii="IBM Plex Serif" w:hAnsi="IBM Plex Serif"/>
              </w:rPr>
            </w:pPr>
            <w:r w:rsidRPr="00EF7FC0">
              <w:rPr>
                <w:rFonts w:ascii="IBM Plex Serif" w:hAnsi="IBM Plex Serif"/>
              </w:rPr>
              <w:t>- F3 - Felelősséggel viseltetik a gazdaságosság, hatékonyság, fenntarthatóság, az emberi egészség és biztonság, valamint a környezettudatosság terén.</w:t>
            </w:r>
          </w:p>
          <w:p w:rsidR="00105117" w:rsidRPr="00EF7FC0" w:rsidRDefault="008B3EFE" w:rsidP="008B3EFE">
            <w:pPr>
              <w:ind w:left="134"/>
              <w:rPr>
                <w:rFonts w:ascii="IBM Plex Serif" w:hAnsi="IBM Plex Serif"/>
                <w:b/>
                <w:bCs/>
              </w:rPr>
            </w:pPr>
            <w:r w:rsidRPr="00EF7FC0">
              <w:rPr>
                <w:rFonts w:ascii="IBM Plex Serif" w:hAnsi="IBM Plex Serif"/>
              </w:rPr>
              <w:t>- F4 - Kezdeményező szerepet vállal a hulladékgazdálkodással kapcsolatos problémák megoldásában, feltárja az alkalmazott technológiák hiányosságait, a folyamatok kockázatait és kezdeményezi az ezeket csökkentő intézkedések megtételét.</w:t>
            </w:r>
          </w:p>
        </w:tc>
      </w:tr>
      <w:tr w:rsidR="00105117" w:rsidRPr="00EF7FC0" w:rsidTr="00701AFB">
        <w:trPr>
          <w:cantSplit/>
        </w:trPr>
        <w:tc>
          <w:tcPr>
            <w:tcW w:w="1403" w:type="dxa"/>
          </w:tcPr>
          <w:p w:rsidR="00105117" w:rsidRPr="00EF7FC0" w:rsidRDefault="00105117" w:rsidP="005409BC">
            <w:pPr>
              <w:rPr>
                <w:rFonts w:ascii="IBM Plex Serif" w:hAnsi="IBM Plex Serif"/>
                <w:b/>
                <w:bCs/>
              </w:rPr>
            </w:pPr>
            <w:r w:rsidRPr="00EF7FC0">
              <w:rPr>
                <w:rFonts w:ascii="IBM Plex Serif" w:hAnsi="IBM Plex Serif"/>
                <w:b/>
                <w:bCs/>
              </w:rPr>
              <w:lastRenderedPageBreak/>
              <w:t>angolul</w:t>
            </w:r>
          </w:p>
        </w:tc>
        <w:tc>
          <w:tcPr>
            <w:tcW w:w="8221" w:type="dxa"/>
            <w:gridSpan w:val="14"/>
          </w:tcPr>
          <w:p w:rsidR="005E7293" w:rsidRPr="00EF7FC0" w:rsidRDefault="005E7293" w:rsidP="005E7293">
            <w:pPr>
              <w:pStyle w:val="Listaszerbekezds"/>
              <w:numPr>
                <w:ilvl w:val="0"/>
                <w:numId w:val="11"/>
              </w:numPr>
              <w:suppressAutoHyphens/>
              <w:rPr>
                <w:rFonts w:ascii="IBM Plex Serif" w:hAnsi="IBM Plex Serif"/>
              </w:rPr>
            </w:pPr>
            <w:r w:rsidRPr="00EF7FC0">
              <w:rPr>
                <w:rFonts w:ascii="IBM Plex Serif" w:hAnsi="IBM Plex Serif"/>
              </w:rPr>
              <w:t>knowledge</w:t>
            </w:r>
          </w:p>
          <w:p w:rsidR="005E7293" w:rsidRPr="00EF7FC0" w:rsidRDefault="005E7293" w:rsidP="005E7293">
            <w:pPr>
              <w:pStyle w:val="Listaszerbekezds"/>
              <w:suppressAutoHyphens/>
              <w:ind w:left="394"/>
              <w:rPr>
                <w:rFonts w:ascii="IBM Plex Serif" w:hAnsi="IBM Plex Serif"/>
              </w:rPr>
            </w:pPr>
            <w:r w:rsidRPr="00EF7FC0">
              <w:rPr>
                <w:rFonts w:ascii="IBM Plex Serif" w:hAnsi="IBM Plex Serif"/>
              </w:rPr>
              <w:t>- T4 - Demonstrable knowledge of the operation and installations of waste management facilities, including hazardous and municipal landfill sites, incinerators, mechanical-biological waste treatment plants, biogas plants and pyrolysis plants, and of the means of improving such facilities.</w:t>
            </w:r>
          </w:p>
          <w:p w:rsidR="005E7293" w:rsidRPr="00EF7FC0" w:rsidRDefault="005E7293" w:rsidP="005E7293">
            <w:pPr>
              <w:pStyle w:val="Listaszerbekezds"/>
              <w:suppressAutoHyphens/>
              <w:ind w:left="394"/>
              <w:rPr>
                <w:rFonts w:ascii="IBM Plex Serif" w:hAnsi="IBM Plex Serif"/>
              </w:rPr>
            </w:pPr>
            <w:r w:rsidRPr="00EF7FC0">
              <w:rPr>
                <w:rFonts w:ascii="IBM Plex Serif" w:hAnsi="IBM Plex Serif"/>
              </w:rPr>
              <w:t>- T7 - Demonstrable knowledge of the composition of different waste types, their generation, potential avenues for waste reduction, and methods of waste minimisation, waste treatment and recovery technologies.</w:t>
            </w:r>
          </w:p>
          <w:p w:rsidR="005E7293" w:rsidRPr="00EF7FC0" w:rsidRDefault="005E7293" w:rsidP="005E7293">
            <w:pPr>
              <w:pStyle w:val="Listaszerbekezds"/>
              <w:numPr>
                <w:ilvl w:val="0"/>
                <w:numId w:val="11"/>
              </w:numPr>
              <w:suppressAutoHyphens/>
              <w:rPr>
                <w:rFonts w:ascii="IBM Plex Serif" w:hAnsi="IBM Plex Serif"/>
              </w:rPr>
            </w:pPr>
            <w:r w:rsidRPr="00EF7FC0">
              <w:rPr>
                <w:rFonts w:ascii="IBM Plex Serif" w:hAnsi="IBM Plex Serif"/>
              </w:rPr>
              <w:t xml:space="preserve">skills </w:t>
            </w:r>
          </w:p>
          <w:p w:rsidR="005E7293" w:rsidRPr="00EF7FC0" w:rsidRDefault="005E7293" w:rsidP="005E7293">
            <w:pPr>
              <w:ind w:left="417"/>
              <w:rPr>
                <w:rFonts w:ascii="IBM Plex Serif" w:hAnsi="IBM Plex Serif"/>
              </w:rPr>
            </w:pPr>
            <w:r w:rsidRPr="00EF7FC0">
              <w:rPr>
                <w:rFonts w:ascii="IBM Plex Serif" w:hAnsi="IBM Plex Serif"/>
              </w:rPr>
              <w:t xml:space="preserve">- K6 - The capacity to interpret and process technical documentation related to waste management, to apply procedures, models and information technologies used in the design, organisation and operation of machinery, equipment, technologies and processes, and to analyse and improve them.  </w:t>
            </w:r>
          </w:p>
          <w:p w:rsidR="005E7293" w:rsidRPr="00EF7FC0" w:rsidRDefault="005E7293" w:rsidP="005E7293">
            <w:pPr>
              <w:ind w:left="417"/>
              <w:rPr>
                <w:rFonts w:ascii="IBM Plex Serif" w:hAnsi="IBM Plex Serif"/>
              </w:rPr>
            </w:pPr>
            <w:r w:rsidRPr="00EF7FC0">
              <w:rPr>
                <w:rFonts w:ascii="IBM Plex Serif" w:hAnsi="IBM Plex Serif"/>
              </w:rPr>
              <w:t>- K8 - The capacity to evaluate the knowledge and activities associated with technical, environmental, economic, social, national and EU legal disciplines in relation to waste management.</w:t>
            </w:r>
          </w:p>
          <w:p w:rsidR="005E7293" w:rsidRPr="00EF7FC0" w:rsidRDefault="005E7293" w:rsidP="005E7293">
            <w:pPr>
              <w:pStyle w:val="Listaszerbekezds"/>
              <w:numPr>
                <w:ilvl w:val="0"/>
                <w:numId w:val="11"/>
              </w:numPr>
              <w:suppressAutoHyphens/>
              <w:rPr>
                <w:rFonts w:ascii="IBM Plex Serif" w:hAnsi="IBM Plex Serif"/>
              </w:rPr>
            </w:pPr>
            <w:r w:rsidRPr="00EF7FC0">
              <w:rPr>
                <w:rFonts w:ascii="IBM Plex Serif" w:hAnsi="IBM Plex Serif"/>
              </w:rPr>
              <w:t>Attitude</w:t>
            </w:r>
          </w:p>
          <w:p w:rsidR="005E7293" w:rsidRPr="00EF7FC0" w:rsidRDefault="005E7293" w:rsidP="005E7293">
            <w:pPr>
              <w:pStyle w:val="Listaszerbekezds"/>
              <w:suppressAutoHyphens/>
              <w:ind w:left="394"/>
              <w:rPr>
                <w:rFonts w:ascii="IBM Plex Serif" w:hAnsi="IBM Plex Serif"/>
              </w:rPr>
            </w:pPr>
            <w:r w:rsidRPr="00EF7FC0">
              <w:rPr>
                <w:rFonts w:ascii="IBM Plex Serif" w:hAnsi="IBM Plex Serif"/>
              </w:rPr>
              <w:t>- A1 - Open and receptive to learning about, accepting and authentically communicating professional and technological developments and innovations in the field of waste management, and continuously improving their knowledge and skills.</w:t>
            </w:r>
          </w:p>
          <w:p w:rsidR="005E7293" w:rsidRPr="00EF7FC0" w:rsidRDefault="005E7293" w:rsidP="005E7293">
            <w:pPr>
              <w:rPr>
                <w:rFonts w:ascii="IBM Plex Serif" w:hAnsi="IBM Plex Serif"/>
              </w:rPr>
            </w:pPr>
            <w:r w:rsidRPr="00EF7FC0">
              <w:rPr>
                <w:rFonts w:ascii="IBM Plex Serif" w:hAnsi="IBM Plex Serif"/>
              </w:rPr>
              <w:t>d) autonomy and responsibility</w:t>
            </w:r>
          </w:p>
          <w:p w:rsidR="005E7293" w:rsidRPr="00EF7FC0" w:rsidRDefault="005E7293" w:rsidP="005E7293">
            <w:pPr>
              <w:ind w:left="417"/>
              <w:rPr>
                <w:rFonts w:ascii="IBM Plex Serif" w:hAnsi="IBM Plex Serif"/>
              </w:rPr>
            </w:pPr>
            <w:r w:rsidRPr="00EF7FC0">
              <w:rPr>
                <w:rFonts w:ascii="IBM Plex Serif" w:hAnsi="IBM Plex Serif"/>
              </w:rPr>
              <w:t>- F1 -  Demonstrates the capacity to independently solve waste management engineering problems, making decisions independently in consultation with legal, economic and environmental experts, and assuming responsibility for them.</w:t>
            </w:r>
          </w:p>
          <w:p w:rsidR="005E7293" w:rsidRPr="00EF7FC0" w:rsidRDefault="005E7293" w:rsidP="005E7293">
            <w:pPr>
              <w:ind w:left="417"/>
              <w:rPr>
                <w:rFonts w:ascii="IBM Plex Serif" w:hAnsi="IBM Plex Serif"/>
              </w:rPr>
            </w:pPr>
            <w:r w:rsidRPr="00EF7FC0">
              <w:rPr>
                <w:rFonts w:ascii="IBM Plex Serif" w:hAnsi="IBM Plex Serif"/>
              </w:rPr>
              <w:t>- F3 - Exhibits responsibility for economic, efficient, sustainable, human health and safety, and environmental awareness considerations.</w:t>
            </w:r>
          </w:p>
          <w:p w:rsidR="00105117" w:rsidRPr="00EF7FC0" w:rsidRDefault="005E7293" w:rsidP="005E7293">
            <w:pPr>
              <w:ind w:left="417"/>
              <w:rPr>
                <w:rFonts w:ascii="IBM Plex Serif" w:hAnsi="IBM Plex Serif"/>
              </w:rPr>
            </w:pPr>
            <w:r w:rsidRPr="00EF7FC0">
              <w:rPr>
                <w:rFonts w:ascii="IBM Plex Serif" w:hAnsi="IBM Plex Serif"/>
              </w:rPr>
              <w:t>- F4 - Takes the initiative to address waste management issues proactively, identifies potential shortcomings in the technologies employed, and reduces process risks through informed decision-making.</w:t>
            </w:r>
          </w:p>
        </w:tc>
      </w:tr>
      <w:tr w:rsidR="000214FF" w:rsidRPr="00EF7FC0" w:rsidTr="00701AFB">
        <w:trPr>
          <w:cantSplit/>
        </w:trPr>
        <w:tc>
          <w:tcPr>
            <w:tcW w:w="9624" w:type="dxa"/>
            <w:gridSpan w:val="15"/>
            <w:tcBorders>
              <w:bottom w:val="single" w:sz="6" w:space="0" w:color="auto"/>
            </w:tcBorders>
            <w:shd w:val="clear" w:color="auto" w:fill="BDD6EE" w:themeFill="accent1" w:themeFillTint="66"/>
          </w:tcPr>
          <w:p w:rsidR="000214FF" w:rsidRPr="00EF7FC0" w:rsidRDefault="00105117" w:rsidP="00105117">
            <w:pPr>
              <w:jc w:val="center"/>
              <w:rPr>
                <w:rFonts w:ascii="IBM Plex Serif" w:hAnsi="IBM Plex Serif"/>
              </w:rPr>
            </w:pPr>
            <w:r w:rsidRPr="00EF7FC0">
              <w:rPr>
                <w:rFonts w:ascii="IBM Plex Serif" w:hAnsi="IBM Plex Serif"/>
                <w:b/>
                <w:bCs/>
              </w:rPr>
              <w:t>Tantárgy tartalma, elsajátítandó ismeretanyag tömör, informáló leírása</w:t>
            </w:r>
            <w:r w:rsidR="00087B74" w:rsidRPr="00EF7FC0">
              <w:rPr>
                <w:rFonts w:ascii="IBM Plex Serif" w:hAnsi="IBM Plex Serif"/>
                <w:b/>
                <w:bCs/>
                <w:vertAlign w:val="superscript"/>
              </w:rPr>
              <w:t>9</w:t>
            </w:r>
            <w:r w:rsidRPr="00EF7FC0">
              <w:rPr>
                <w:rFonts w:ascii="IBM Plex Serif" w:hAnsi="IBM Plex Serif"/>
                <w:b/>
                <w:bCs/>
              </w:rPr>
              <w:t>:</w:t>
            </w:r>
          </w:p>
        </w:tc>
      </w:tr>
      <w:tr w:rsidR="00DA34DC" w:rsidRPr="00EF7FC0" w:rsidTr="00701AFB">
        <w:trPr>
          <w:cantSplit/>
        </w:trPr>
        <w:tc>
          <w:tcPr>
            <w:tcW w:w="1403" w:type="dxa"/>
            <w:tcBorders>
              <w:top w:val="single" w:sz="6" w:space="0" w:color="auto"/>
            </w:tcBorders>
          </w:tcPr>
          <w:p w:rsidR="00DA34DC" w:rsidRPr="00EF7FC0" w:rsidRDefault="00DA34DC" w:rsidP="00DA34DC">
            <w:pPr>
              <w:rPr>
                <w:rFonts w:ascii="IBM Plex Serif" w:hAnsi="IBM Plex Serif"/>
                <w:b/>
                <w:bCs/>
              </w:rPr>
            </w:pPr>
            <w:r w:rsidRPr="00EF7FC0">
              <w:rPr>
                <w:rFonts w:ascii="IBM Plex Serif" w:hAnsi="IBM Plex Serif"/>
                <w:b/>
                <w:bCs/>
              </w:rPr>
              <w:t>magyarul</w:t>
            </w:r>
          </w:p>
        </w:tc>
        <w:tc>
          <w:tcPr>
            <w:tcW w:w="8221" w:type="dxa"/>
            <w:gridSpan w:val="14"/>
            <w:tcBorders>
              <w:top w:val="single" w:sz="6" w:space="0" w:color="auto"/>
            </w:tcBorders>
          </w:tcPr>
          <w:p w:rsidR="00DA34DC" w:rsidRPr="00EF7FC0" w:rsidRDefault="00ED60AA" w:rsidP="004B62CF">
            <w:pPr>
              <w:suppressAutoHyphens/>
              <w:ind w:left="34"/>
              <w:rPr>
                <w:rFonts w:ascii="IBM Plex Serif" w:hAnsi="IBM Plex Serif"/>
              </w:rPr>
            </w:pPr>
            <w:r w:rsidRPr="00EF7FC0">
              <w:rPr>
                <w:rFonts w:ascii="IBM Plex Serif" w:hAnsi="IBM Plex Serif"/>
              </w:rPr>
              <w:t>Műanyag és gumi hulladékok kezelésére vonatkozó előírások, megoldási lehetőségek bemutatása fókuszban a körforgásos gazdaság és a fenntarthatósági célok szempontrendszerével. Szelektív gyűjtés és annak jelentősége, műanyag és gumi hulladékok hasznosítási lehetőségei (mechanikai, kémiai, energetikai), a technológiai megoldások bemutatása, fajtatiszta, illetve vegyes műanyag, illetve hulladékok újrahasznosítása, újrafeldolgozása és minősítése.</w:t>
            </w:r>
          </w:p>
        </w:tc>
      </w:tr>
      <w:tr w:rsidR="00DA34DC" w:rsidRPr="00EF7FC0" w:rsidTr="00701AFB">
        <w:trPr>
          <w:cantSplit/>
        </w:trPr>
        <w:tc>
          <w:tcPr>
            <w:tcW w:w="1403" w:type="dxa"/>
          </w:tcPr>
          <w:p w:rsidR="00DA34DC" w:rsidRPr="00EF7FC0" w:rsidRDefault="00DA34DC" w:rsidP="00DA34DC">
            <w:pPr>
              <w:rPr>
                <w:rFonts w:ascii="IBM Plex Serif" w:hAnsi="IBM Plex Serif"/>
                <w:b/>
                <w:bCs/>
              </w:rPr>
            </w:pPr>
            <w:r w:rsidRPr="00EF7FC0">
              <w:rPr>
                <w:rFonts w:ascii="IBM Plex Serif" w:hAnsi="IBM Plex Serif"/>
                <w:b/>
                <w:bCs/>
              </w:rPr>
              <w:t>angolul</w:t>
            </w:r>
          </w:p>
        </w:tc>
        <w:tc>
          <w:tcPr>
            <w:tcW w:w="8221" w:type="dxa"/>
            <w:gridSpan w:val="14"/>
          </w:tcPr>
          <w:p w:rsidR="00DA34DC" w:rsidRPr="00EF7FC0" w:rsidRDefault="00ED60AA" w:rsidP="004B62CF">
            <w:pPr>
              <w:rPr>
                <w:rFonts w:ascii="IBM Plex Serif" w:hAnsi="IBM Plex Serif"/>
                <w:bCs/>
              </w:rPr>
            </w:pPr>
            <w:r w:rsidRPr="00EF7FC0">
              <w:rPr>
                <w:rFonts w:ascii="IBM Plex Serif" w:hAnsi="IBM Plex Serif"/>
                <w:bCs/>
              </w:rPr>
              <w:t>Presentation of regulations and solutions for the management of plastic and rubber waste with a focus on the circular economy and sustainability objectives. Selective collection and its importance, recovery options for plastic and rubber waste (mechanical, chemical, energy), technological solutions, recycling, reprocessing and qualification of pure and mixed plastics and waste.</w:t>
            </w:r>
          </w:p>
        </w:tc>
      </w:tr>
      <w:tr w:rsidR="00DA34DC" w:rsidRPr="00EF7FC0" w:rsidTr="0070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left w:val="single" w:sz="12" w:space="0" w:color="auto"/>
              <w:bottom w:val="single" w:sz="4" w:space="0" w:color="auto"/>
              <w:right w:val="single" w:sz="12" w:space="0" w:color="auto"/>
            </w:tcBorders>
            <w:shd w:val="clear" w:color="auto" w:fill="BDD6EE" w:themeFill="accent1" w:themeFillTint="66"/>
            <w:noWrap/>
            <w:vAlign w:val="center"/>
            <w:hideMark/>
          </w:tcPr>
          <w:p w:rsidR="00DA34DC" w:rsidRPr="00EF7FC0" w:rsidRDefault="00DA34DC" w:rsidP="00DA34DC">
            <w:pPr>
              <w:jc w:val="center"/>
              <w:rPr>
                <w:rFonts w:ascii="IBM Plex Serif" w:hAnsi="IBM Plex Serif"/>
                <w:b/>
                <w:bCs/>
              </w:rPr>
            </w:pPr>
            <w:r w:rsidRPr="00EF7FC0">
              <w:rPr>
                <w:rFonts w:ascii="IBM Plex Serif" w:hAnsi="IBM Plex Serif"/>
                <w:b/>
                <w:bCs/>
              </w:rPr>
              <w:t>Számonkérési és értékelési rendszer</w:t>
            </w:r>
          </w:p>
        </w:tc>
      </w:tr>
      <w:tr w:rsidR="00DA34DC" w:rsidRPr="00EF7FC0" w:rsidTr="0070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DA34DC" w:rsidRPr="00EF7FC0" w:rsidRDefault="00DA34DC" w:rsidP="00DA34DC">
            <w:pPr>
              <w:jc w:val="center"/>
              <w:rPr>
                <w:rFonts w:ascii="IBM Plex Serif" w:hAnsi="IBM Plex Serif"/>
                <w:b/>
                <w:bCs/>
              </w:rPr>
            </w:pPr>
            <w:r w:rsidRPr="00EF7FC0">
              <w:rPr>
                <w:rFonts w:ascii="IBM Plex Serif" w:hAnsi="IBM Plex Serif"/>
                <w:b/>
                <w:bCs/>
              </w:rPr>
              <w:t>Számonkérés módja</w:t>
            </w:r>
            <w:r w:rsidRPr="00EF7FC0">
              <w:rPr>
                <w:rStyle w:val="Lbjegyzet-hivatkozs"/>
                <w:rFonts w:ascii="IBM Plex Serif" w:hAnsi="IBM Plex Serif"/>
                <w:b/>
                <w:bCs/>
              </w:rPr>
              <w:t>10</w:t>
            </w:r>
          </w:p>
        </w:tc>
      </w:tr>
      <w:tr w:rsidR="00ED60AA" w:rsidRPr="00EF7FC0" w:rsidTr="00701AFB">
        <w:trPr>
          <w:cantSplit/>
        </w:trPr>
        <w:tc>
          <w:tcPr>
            <w:tcW w:w="1403" w:type="dxa"/>
          </w:tcPr>
          <w:p w:rsidR="00ED60AA" w:rsidRPr="00EF7FC0" w:rsidRDefault="00ED60AA" w:rsidP="00ED60AA">
            <w:pPr>
              <w:rPr>
                <w:rFonts w:ascii="IBM Plex Serif" w:hAnsi="IBM Plex Serif"/>
                <w:b/>
                <w:bCs/>
              </w:rPr>
            </w:pPr>
            <w:r w:rsidRPr="00EF7FC0">
              <w:rPr>
                <w:rFonts w:ascii="IBM Plex Serif" w:hAnsi="IBM Plex Serif"/>
                <w:b/>
                <w:bCs/>
              </w:rPr>
              <w:lastRenderedPageBreak/>
              <w:t>magyarul</w:t>
            </w:r>
          </w:p>
        </w:tc>
        <w:tc>
          <w:tcPr>
            <w:tcW w:w="8221" w:type="dxa"/>
            <w:gridSpan w:val="14"/>
          </w:tcPr>
          <w:p w:rsidR="00ED60AA" w:rsidRDefault="00ED60AA" w:rsidP="00ED60AA">
            <w:pPr>
              <w:rPr>
                <w:rFonts w:ascii="IBM Plex Serif" w:hAnsi="IBM Plex Serif"/>
              </w:rPr>
            </w:pPr>
            <w:r w:rsidRPr="00EF7FC0">
              <w:rPr>
                <w:rFonts w:ascii="IBM Plex Serif" w:hAnsi="IBM Plex Serif"/>
              </w:rPr>
              <w:t>Folyamatos számonkérés</w:t>
            </w:r>
          </w:p>
          <w:p w:rsidR="001022F4" w:rsidRPr="001022F4" w:rsidRDefault="001022F4" w:rsidP="001022F4">
            <w:pPr>
              <w:rPr>
                <w:rFonts w:ascii="IBM Plex Serif" w:hAnsi="IBM Plex Serif"/>
                <w:bCs/>
              </w:rPr>
            </w:pPr>
            <w:r w:rsidRPr="001022F4">
              <w:rPr>
                <w:rFonts w:ascii="IBM Plex Serif" w:hAnsi="IBM Plex Serif"/>
                <w:bCs/>
              </w:rPr>
              <w:t xml:space="preserve">Az értékelés a gyakorlatok (30%), az egyéni feladat (20%) és a zárthelyi (50%) alapján történik. </w:t>
            </w:r>
          </w:p>
          <w:p w:rsidR="001022F4" w:rsidRPr="00BD15C7" w:rsidRDefault="001022F4" w:rsidP="001022F4">
            <w:pPr>
              <w:rPr>
                <w:rFonts w:ascii="IBM Plex Serif" w:hAnsi="IBM Plex Serif"/>
                <w:bCs/>
              </w:rPr>
            </w:pPr>
            <w:r>
              <w:rPr>
                <w:rFonts w:ascii="IBM Plex Serif" w:hAnsi="IBM Plex Serif"/>
                <w:bCs/>
              </w:rPr>
              <w:t>J</w:t>
            </w:r>
            <w:r w:rsidRPr="00BD15C7">
              <w:rPr>
                <w:rFonts w:ascii="IBM Plex Serif" w:hAnsi="IBM Plex Serif"/>
                <w:bCs/>
              </w:rPr>
              <w:t>eles (5) osztályzatot kap az a hallgató, aki a teljes anyagot alaposan és összefüggéseiben ismeri és ismereteit önállóan, biztosan alkalmazza.</w:t>
            </w:r>
          </w:p>
          <w:p w:rsidR="001022F4" w:rsidRPr="00BD15C7" w:rsidRDefault="001022F4" w:rsidP="001022F4">
            <w:pPr>
              <w:rPr>
                <w:rFonts w:ascii="IBM Plex Serif" w:hAnsi="IBM Plex Serif"/>
                <w:bCs/>
              </w:rPr>
            </w:pPr>
            <w:r>
              <w:rPr>
                <w:rFonts w:ascii="IBM Plex Serif" w:hAnsi="IBM Plex Serif"/>
                <w:bCs/>
              </w:rPr>
              <w:t>J</w:t>
            </w:r>
            <w:r w:rsidRPr="00BD15C7">
              <w:rPr>
                <w:rFonts w:ascii="IBM Plex Serif" w:hAnsi="IBM Plex Serif"/>
                <w:bCs/>
              </w:rPr>
              <w:t>ó (4) osztályzatot kap az a hallgató, aki a teljes anyagot alaposan ismeri és ismereteit biztonsággal alkalmazza.</w:t>
            </w:r>
          </w:p>
          <w:p w:rsidR="001022F4" w:rsidRPr="00BD15C7" w:rsidRDefault="001022F4" w:rsidP="001022F4">
            <w:pPr>
              <w:rPr>
                <w:rFonts w:ascii="IBM Plex Serif" w:hAnsi="IBM Plex Serif"/>
                <w:bCs/>
              </w:rPr>
            </w:pPr>
            <w:r>
              <w:rPr>
                <w:rFonts w:ascii="IBM Plex Serif" w:hAnsi="IBM Plex Serif"/>
                <w:bCs/>
              </w:rPr>
              <w:t>K</w:t>
            </w:r>
            <w:r w:rsidRPr="00BD15C7">
              <w:rPr>
                <w:rFonts w:ascii="IBM Plex Serif" w:hAnsi="IBM Plex Serif"/>
                <w:bCs/>
              </w:rPr>
              <w:t>özepes (3) osztályzatot kap az a hallgató, aki az anyag lényeges részeit jól ismeri és ismereteit megfelelő biztonsággal alkalmazza.</w:t>
            </w:r>
          </w:p>
          <w:p w:rsidR="001022F4" w:rsidRPr="00BD15C7" w:rsidRDefault="001022F4" w:rsidP="001022F4">
            <w:pPr>
              <w:rPr>
                <w:rFonts w:ascii="IBM Plex Serif" w:hAnsi="IBM Plex Serif"/>
                <w:bCs/>
              </w:rPr>
            </w:pPr>
            <w:r>
              <w:rPr>
                <w:rFonts w:ascii="IBM Plex Serif" w:hAnsi="IBM Plex Serif"/>
                <w:bCs/>
              </w:rPr>
              <w:t>E</w:t>
            </w:r>
            <w:r w:rsidRPr="00BD15C7">
              <w:rPr>
                <w:rFonts w:ascii="IBM Plex Serif" w:hAnsi="IBM Plex Serif"/>
                <w:bCs/>
              </w:rPr>
              <w:t>légséges (2) osztályzatot kap az a hallgató, aki az anyag lényeges részeit elfogadható módon ismeri és az ismeretek alkalmazásában elfogadható jártasságot mutat.</w:t>
            </w:r>
          </w:p>
          <w:p w:rsidR="00166C56" w:rsidRPr="001022F4" w:rsidRDefault="001022F4" w:rsidP="001022F4">
            <w:pPr>
              <w:rPr>
                <w:rFonts w:ascii="IBM Plex Serif" w:hAnsi="IBM Plex Serif"/>
                <w:bCs/>
              </w:rPr>
            </w:pPr>
            <w:r>
              <w:rPr>
                <w:rFonts w:ascii="IBM Plex Serif" w:hAnsi="IBM Plex Serif"/>
                <w:bCs/>
              </w:rPr>
              <w:t>E</w:t>
            </w:r>
            <w:r w:rsidRPr="00BD15C7">
              <w:rPr>
                <w:rFonts w:ascii="IBM Plex Serif" w:hAnsi="IBM Plex Serif"/>
                <w:bCs/>
              </w:rPr>
              <w:t>légtelen (1) osztályzatot kap az a hallgató, aki a továbbhaladáshoz, illetve szakmájának gyakorlásához feltétlenül szükséges elméleti és gyakorlati ismeretekkel nem rendelkezik.</w:t>
            </w:r>
          </w:p>
        </w:tc>
      </w:tr>
      <w:tr w:rsidR="00ED60AA" w:rsidRPr="00EF7FC0" w:rsidTr="00701AFB">
        <w:trPr>
          <w:cantSplit/>
        </w:trPr>
        <w:tc>
          <w:tcPr>
            <w:tcW w:w="1403" w:type="dxa"/>
          </w:tcPr>
          <w:p w:rsidR="00ED60AA" w:rsidRPr="00EF7FC0" w:rsidRDefault="00ED60AA" w:rsidP="00ED60AA">
            <w:pPr>
              <w:rPr>
                <w:rFonts w:ascii="IBM Plex Serif" w:hAnsi="IBM Plex Serif"/>
                <w:b/>
                <w:bCs/>
              </w:rPr>
            </w:pPr>
            <w:r w:rsidRPr="00EF7FC0">
              <w:rPr>
                <w:rFonts w:ascii="IBM Plex Serif" w:hAnsi="IBM Plex Serif"/>
                <w:b/>
                <w:bCs/>
              </w:rPr>
              <w:t>angolul</w:t>
            </w:r>
          </w:p>
        </w:tc>
        <w:tc>
          <w:tcPr>
            <w:tcW w:w="8221" w:type="dxa"/>
            <w:gridSpan w:val="14"/>
          </w:tcPr>
          <w:p w:rsidR="00ED60AA" w:rsidRDefault="00157BAA" w:rsidP="00ED60AA">
            <w:pPr>
              <w:rPr>
                <w:rFonts w:ascii="IBM Plex Serif" w:hAnsi="IBM Plex Serif"/>
                <w:bCs/>
              </w:rPr>
            </w:pPr>
            <w:r w:rsidRPr="00157BAA">
              <w:rPr>
                <w:rFonts w:ascii="IBM Plex Serif" w:hAnsi="IBM Plex Serif"/>
                <w:bCs/>
              </w:rPr>
              <w:t>continuous assessment</w:t>
            </w:r>
          </w:p>
          <w:p w:rsidR="00166C56" w:rsidRDefault="001022F4" w:rsidP="00ED60AA">
            <w:pPr>
              <w:rPr>
                <w:rFonts w:ascii="IBM Plex Serif" w:hAnsi="IBM Plex Serif"/>
                <w:bCs/>
              </w:rPr>
            </w:pPr>
            <w:r w:rsidRPr="001022F4">
              <w:rPr>
                <w:rFonts w:ascii="IBM Plex Serif" w:hAnsi="IBM Plex Serif"/>
                <w:bCs/>
              </w:rPr>
              <w:t>Assessment is based on the exercises (30%), the individual assignment (20%) and the final examination (50%).</w:t>
            </w:r>
          </w:p>
          <w:p w:rsidR="001022F4" w:rsidRPr="00BD15C7" w:rsidRDefault="001022F4" w:rsidP="001022F4">
            <w:pPr>
              <w:rPr>
                <w:rFonts w:ascii="IBM Plex Serif" w:hAnsi="IBM Plex Serif"/>
                <w:bCs/>
              </w:rPr>
            </w:pPr>
            <w:r w:rsidRPr="00BD15C7">
              <w:rPr>
                <w:rFonts w:ascii="IBM Plex Serif" w:hAnsi="IBM Plex Serif"/>
                <w:bCs/>
              </w:rPr>
              <w:t>An excellent (5) is awarded to a student who has a thorough and coherent knowledge of all the material and who applies this knowledge independently and confidently.</w:t>
            </w:r>
          </w:p>
          <w:p w:rsidR="001022F4" w:rsidRPr="00BD15C7" w:rsidRDefault="001022F4" w:rsidP="001022F4">
            <w:pPr>
              <w:rPr>
                <w:rFonts w:ascii="IBM Plex Serif" w:hAnsi="IBM Plex Serif"/>
                <w:bCs/>
              </w:rPr>
            </w:pPr>
            <w:r w:rsidRPr="00BD15C7">
              <w:rPr>
                <w:rFonts w:ascii="IBM Plex Serif" w:hAnsi="IBM Plex Serif"/>
                <w:bCs/>
              </w:rPr>
              <w:t>A Good (4) is awarded to a student who has a thorough knowledge of the material and applies his/her knowledge with confidence.</w:t>
            </w:r>
          </w:p>
          <w:p w:rsidR="001022F4" w:rsidRPr="00BD15C7" w:rsidRDefault="001022F4" w:rsidP="001022F4">
            <w:pPr>
              <w:rPr>
                <w:rFonts w:ascii="IBM Plex Serif" w:hAnsi="IBM Plex Serif"/>
                <w:bCs/>
              </w:rPr>
            </w:pPr>
            <w:r w:rsidRPr="00BD15C7">
              <w:rPr>
                <w:rFonts w:ascii="IBM Plex Serif" w:hAnsi="IBM Plex Serif"/>
                <w:bCs/>
              </w:rPr>
              <w:t>A medium (3) is awarded to students who have a good knowledge of the essential parts of the material and apply their knowledge with confidence.</w:t>
            </w:r>
          </w:p>
          <w:p w:rsidR="001022F4" w:rsidRPr="00BD15C7" w:rsidRDefault="001022F4" w:rsidP="001022F4">
            <w:pPr>
              <w:rPr>
                <w:rFonts w:ascii="IBM Plex Serif" w:hAnsi="IBM Plex Serif"/>
                <w:bCs/>
              </w:rPr>
            </w:pPr>
            <w:r w:rsidRPr="00BD15C7">
              <w:rPr>
                <w:rFonts w:ascii="IBM Plex Serif" w:hAnsi="IBM Plex Serif"/>
                <w:bCs/>
              </w:rPr>
              <w:t>A pass (2) is awarded to a student who has an acceptable knowledge of the essential parts of the material and shows an acceptable ability to apply this knowledge.</w:t>
            </w:r>
          </w:p>
          <w:p w:rsidR="001022F4" w:rsidRPr="00EF7FC0" w:rsidRDefault="001022F4" w:rsidP="001022F4">
            <w:pPr>
              <w:rPr>
                <w:rFonts w:ascii="IBM Plex Serif" w:hAnsi="IBM Plex Serif"/>
                <w:bCs/>
              </w:rPr>
            </w:pPr>
            <w:r w:rsidRPr="00BD15C7">
              <w:rPr>
                <w:rFonts w:ascii="IBM Plex Serif" w:hAnsi="IBM Plex Serif"/>
                <w:bCs/>
              </w:rPr>
              <w:t>A fail(1) is awarded to a student who does not have the theoretical and practical knowledge essential for further study and practice of the profession.</w:t>
            </w:r>
          </w:p>
        </w:tc>
      </w:tr>
      <w:tr w:rsidR="00ED60AA" w:rsidRPr="00EF7FC0" w:rsidTr="0070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ED60AA" w:rsidRPr="00EF7FC0" w:rsidRDefault="00ED60AA" w:rsidP="00ED60AA">
            <w:pPr>
              <w:autoSpaceDE/>
              <w:autoSpaceDN/>
              <w:jc w:val="center"/>
              <w:rPr>
                <w:rFonts w:ascii="IBM Plex Serif" w:hAnsi="IBM Plex Serif" w:cs="Arial"/>
                <w:b/>
                <w:bCs/>
                <w:szCs w:val="18"/>
              </w:rPr>
            </w:pPr>
            <w:r w:rsidRPr="00EF7FC0">
              <w:rPr>
                <w:rFonts w:ascii="IBM Plex Serif" w:hAnsi="IBM Plex Serif" w:cs="Arial"/>
                <w:b/>
                <w:bCs/>
                <w:szCs w:val="18"/>
              </w:rPr>
              <w:t>Leckekönyv-aláírási feltételek</w:t>
            </w:r>
            <w:r w:rsidRPr="00EF7FC0">
              <w:rPr>
                <w:rStyle w:val="Lbjegyzet-hivatkozs"/>
                <w:rFonts w:ascii="IBM Plex Serif" w:hAnsi="IBM Plex Serif" w:cs="Arial"/>
                <w:b/>
                <w:bCs/>
                <w:szCs w:val="18"/>
              </w:rPr>
              <w:t>11</w:t>
            </w:r>
          </w:p>
        </w:tc>
      </w:tr>
      <w:tr w:rsidR="00ED60AA" w:rsidRPr="00EF7FC0" w:rsidTr="00701AFB">
        <w:trPr>
          <w:cantSplit/>
        </w:trPr>
        <w:tc>
          <w:tcPr>
            <w:tcW w:w="1403" w:type="dxa"/>
          </w:tcPr>
          <w:p w:rsidR="00ED60AA" w:rsidRPr="00EF7FC0" w:rsidRDefault="00ED60AA" w:rsidP="00ED60AA">
            <w:pPr>
              <w:rPr>
                <w:rFonts w:ascii="IBM Plex Serif" w:hAnsi="IBM Plex Serif"/>
                <w:b/>
                <w:bCs/>
              </w:rPr>
            </w:pPr>
            <w:r w:rsidRPr="00EF7FC0">
              <w:rPr>
                <w:rFonts w:ascii="IBM Plex Serif" w:hAnsi="IBM Plex Serif"/>
                <w:b/>
                <w:bCs/>
              </w:rPr>
              <w:t>Magyarul</w:t>
            </w:r>
          </w:p>
        </w:tc>
        <w:tc>
          <w:tcPr>
            <w:tcW w:w="8221" w:type="dxa"/>
            <w:gridSpan w:val="14"/>
          </w:tcPr>
          <w:p w:rsidR="00ED60AA" w:rsidRPr="00EF7FC0" w:rsidRDefault="00ED60AA" w:rsidP="00ED60AA">
            <w:pPr>
              <w:rPr>
                <w:rFonts w:ascii="IBM Plex Serif" w:hAnsi="IBM Plex Serif"/>
                <w:b/>
                <w:bCs/>
              </w:rPr>
            </w:pPr>
            <w:r w:rsidRPr="00EF7FC0">
              <w:rPr>
                <w:rFonts w:ascii="IBM Plex Serif" w:hAnsi="IBM Plex Serif"/>
              </w:rPr>
              <w:t xml:space="preserve">Hiányzás HKR szerint. </w:t>
            </w:r>
          </w:p>
        </w:tc>
      </w:tr>
      <w:tr w:rsidR="00ED60AA" w:rsidRPr="00EF7FC0" w:rsidTr="00701AFB">
        <w:trPr>
          <w:cantSplit/>
        </w:trPr>
        <w:tc>
          <w:tcPr>
            <w:tcW w:w="1403" w:type="dxa"/>
          </w:tcPr>
          <w:p w:rsidR="00ED60AA" w:rsidRPr="00EF7FC0" w:rsidRDefault="00ED60AA" w:rsidP="00ED60AA">
            <w:pPr>
              <w:rPr>
                <w:rFonts w:ascii="IBM Plex Serif" w:hAnsi="IBM Plex Serif"/>
                <w:b/>
                <w:bCs/>
              </w:rPr>
            </w:pPr>
            <w:r w:rsidRPr="00EF7FC0">
              <w:rPr>
                <w:rFonts w:ascii="IBM Plex Serif" w:hAnsi="IBM Plex Serif"/>
                <w:b/>
                <w:bCs/>
              </w:rPr>
              <w:t>angolul</w:t>
            </w:r>
          </w:p>
        </w:tc>
        <w:tc>
          <w:tcPr>
            <w:tcW w:w="8221" w:type="dxa"/>
            <w:gridSpan w:val="14"/>
          </w:tcPr>
          <w:p w:rsidR="00ED60AA" w:rsidRPr="00EF7FC0" w:rsidRDefault="00EF7FC0" w:rsidP="00ED60AA">
            <w:pPr>
              <w:rPr>
                <w:rFonts w:ascii="IBM Plex Serif" w:hAnsi="IBM Plex Serif"/>
                <w:bCs/>
              </w:rPr>
            </w:pPr>
            <w:r w:rsidRPr="00EF7FC0">
              <w:rPr>
                <w:rFonts w:ascii="IBM Plex Serif" w:hAnsi="IBM Plex Serif"/>
                <w:bCs/>
              </w:rPr>
              <w:t>Absence according to the Academic Regulations for Students.</w:t>
            </w:r>
          </w:p>
        </w:tc>
      </w:tr>
      <w:tr w:rsidR="00701AFB" w:rsidTr="00701AF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624" w:type="dxa"/>
            <w:gridSpan w:val="15"/>
            <w:tcBorders>
              <w:top w:val="single" w:sz="6" w:space="0" w:color="auto"/>
              <w:left w:val="single" w:sz="12" w:space="0" w:color="auto"/>
              <w:bottom w:val="single" w:sz="12" w:space="0" w:color="auto"/>
              <w:right w:val="single" w:sz="12" w:space="0" w:color="auto"/>
            </w:tcBorders>
            <w:shd w:val="clear" w:color="auto" w:fill="BDD6EE"/>
            <w:vAlign w:val="center"/>
            <w:hideMark/>
          </w:tcPr>
          <w:p w:rsidR="00701AFB" w:rsidRPr="005906C8" w:rsidRDefault="00701AFB" w:rsidP="00FC61E6">
            <w:pPr>
              <w:jc w:val="center"/>
              <w:rPr>
                <w:rFonts w:ascii="IBM Plex Serif" w:hAnsi="IBM Plex Serif"/>
                <w:b/>
                <w:bCs/>
              </w:rPr>
            </w:pPr>
            <w:bookmarkStart w:id="2" w:name="_Hlk181869830"/>
            <w:r w:rsidRPr="005906C8">
              <w:rPr>
                <w:rFonts w:ascii="IBM Plex Serif" w:hAnsi="IBM Plex Serif"/>
                <w:b/>
                <w:bCs/>
              </w:rPr>
              <w:t>MI eszközök alkalmazásának javaslata és elvárt módja</w:t>
            </w:r>
            <w:r w:rsidRPr="00897E3D">
              <w:rPr>
                <w:rFonts w:ascii="IBM Plex Serif" w:hAnsi="IBM Plex Serif"/>
                <w:b/>
                <w:bCs/>
                <w:vertAlign w:val="superscript"/>
              </w:rPr>
              <w:t>12</w:t>
            </w:r>
            <w:r w:rsidRPr="005906C8">
              <w:rPr>
                <w:rFonts w:ascii="IBM Plex Serif" w:hAnsi="IBM Plex Serif"/>
                <w:b/>
                <w:bCs/>
              </w:rPr>
              <w:t> </w:t>
            </w:r>
          </w:p>
        </w:tc>
      </w:tr>
      <w:tr w:rsidR="00701AFB" w:rsidRPr="005906C8" w:rsidTr="00701AF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12" w:space="0" w:color="auto"/>
              <w:left w:val="single" w:sz="12" w:space="0" w:color="auto"/>
              <w:bottom w:val="single" w:sz="6" w:space="0" w:color="auto"/>
              <w:right w:val="single" w:sz="6" w:space="0" w:color="auto"/>
            </w:tcBorders>
            <w:shd w:val="clear" w:color="auto" w:fill="auto"/>
            <w:hideMark/>
          </w:tcPr>
          <w:p w:rsidR="00701AFB" w:rsidRPr="005906C8" w:rsidRDefault="00701AFB" w:rsidP="00FC61E6">
            <w:pPr>
              <w:rPr>
                <w:rFonts w:ascii="IBM Plex Serif" w:hAnsi="IBM Plex Serif"/>
                <w:b/>
                <w:bCs/>
              </w:rPr>
            </w:pPr>
            <w:r w:rsidRPr="005906C8">
              <w:rPr>
                <w:rFonts w:ascii="IBM Plex Serif" w:hAnsi="IBM Plex Serif"/>
                <w:b/>
                <w:bCs/>
              </w:rPr>
              <w:t>magyarul </w:t>
            </w:r>
          </w:p>
        </w:tc>
        <w:tc>
          <w:tcPr>
            <w:tcW w:w="8221" w:type="dxa"/>
            <w:gridSpan w:val="14"/>
            <w:tcBorders>
              <w:top w:val="single" w:sz="12" w:space="0" w:color="auto"/>
              <w:left w:val="single" w:sz="6" w:space="0" w:color="auto"/>
              <w:bottom w:val="single" w:sz="6" w:space="0" w:color="auto"/>
              <w:right w:val="single" w:sz="12" w:space="0" w:color="auto"/>
            </w:tcBorders>
            <w:shd w:val="clear" w:color="auto" w:fill="auto"/>
            <w:hideMark/>
          </w:tcPr>
          <w:p w:rsidR="00701AFB" w:rsidRPr="005906C8" w:rsidRDefault="00701AFB" w:rsidP="00FC61E6">
            <w:pPr>
              <w:rPr>
                <w:rFonts w:ascii="IBM Plex Serif" w:hAnsi="IBM Plex Serif"/>
                <w:bCs/>
              </w:rPr>
            </w:pPr>
            <w:r w:rsidRPr="005906C8">
              <w:rPr>
                <w:rFonts w:ascii="IBM Plex Serif" w:hAnsi="IBM Plex Serif"/>
                <w:bCs/>
              </w:rPr>
              <w:t> A tárgy keretében a MI eszközök alkalmazása a felkészülés során megengedett, de a beadandó feladatokhoz és a számonkérés során használatuk tiltott.</w:t>
            </w:r>
          </w:p>
        </w:tc>
      </w:tr>
      <w:tr w:rsidR="00701AFB" w:rsidRPr="005906C8" w:rsidTr="00701AFB">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6" w:space="0" w:color="auto"/>
              <w:left w:val="single" w:sz="12" w:space="0" w:color="auto"/>
              <w:bottom w:val="single" w:sz="12" w:space="0" w:color="auto"/>
              <w:right w:val="single" w:sz="6" w:space="0" w:color="auto"/>
            </w:tcBorders>
            <w:shd w:val="clear" w:color="auto" w:fill="auto"/>
            <w:hideMark/>
          </w:tcPr>
          <w:p w:rsidR="00701AFB" w:rsidRPr="005906C8" w:rsidRDefault="00701AFB" w:rsidP="00FC61E6">
            <w:pPr>
              <w:rPr>
                <w:rFonts w:ascii="IBM Plex Serif" w:hAnsi="IBM Plex Serif"/>
                <w:b/>
                <w:bCs/>
              </w:rPr>
            </w:pPr>
            <w:r w:rsidRPr="005906C8">
              <w:rPr>
                <w:rFonts w:ascii="IBM Plex Serif" w:hAnsi="IBM Plex Serif"/>
                <w:b/>
                <w:bCs/>
              </w:rPr>
              <w:t>angolul </w:t>
            </w:r>
          </w:p>
        </w:tc>
        <w:tc>
          <w:tcPr>
            <w:tcW w:w="8221" w:type="dxa"/>
            <w:gridSpan w:val="14"/>
            <w:tcBorders>
              <w:top w:val="single" w:sz="6" w:space="0" w:color="auto"/>
              <w:left w:val="single" w:sz="6" w:space="0" w:color="auto"/>
              <w:bottom w:val="single" w:sz="12" w:space="0" w:color="auto"/>
              <w:right w:val="single" w:sz="12" w:space="0" w:color="auto"/>
            </w:tcBorders>
            <w:shd w:val="clear" w:color="auto" w:fill="auto"/>
            <w:hideMark/>
          </w:tcPr>
          <w:p w:rsidR="00701AFB" w:rsidRPr="005906C8" w:rsidRDefault="00701AFB" w:rsidP="00FC61E6">
            <w:pPr>
              <w:rPr>
                <w:rFonts w:ascii="IBM Plex Serif" w:hAnsi="IBM Plex Serif"/>
                <w:bCs/>
              </w:rPr>
            </w:pPr>
            <w:r w:rsidRPr="005906C8">
              <w:rPr>
                <w:rFonts w:ascii="IBM Plex Serif" w:hAnsi="IBM Plex Serif"/>
                <w:bCs/>
              </w:rPr>
              <w:t xml:space="preserve"> In the subject, AI tools are allowed during preparation, but their use for the assignment and during the written and oral exams is prohibited.  </w:t>
            </w:r>
          </w:p>
        </w:tc>
      </w:tr>
      <w:bookmarkEnd w:id="2"/>
      <w:tr w:rsidR="00ED60AA" w:rsidRPr="00EF7FC0" w:rsidTr="0070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624" w:type="dxa"/>
            <w:gridSpan w:val="15"/>
            <w:tcBorders>
              <w:top w:val="single" w:sz="4" w:space="0" w:color="auto"/>
              <w:left w:val="single" w:sz="12" w:space="0" w:color="auto"/>
              <w:bottom w:val="single" w:sz="12" w:space="0" w:color="auto"/>
              <w:right w:val="single" w:sz="12" w:space="0" w:color="auto"/>
            </w:tcBorders>
            <w:shd w:val="clear" w:color="auto" w:fill="BDD6EE" w:themeFill="accent1" w:themeFillTint="66"/>
            <w:noWrap/>
            <w:vAlign w:val="center"/>
            <w:hideMark/>
          </w:tcPr>
          <w:p w:rsidR="00ED60AA" w:rsidRPr="00EF7FC0" w:rsidRDefault="00ED60AA" w:rsidP="00ED60AA">
            <w:pPr>
              <w:autoSpaceDE/>
              <w:autoSpaceDN/>
              <w:jc w:val="center"/>
              <w:rPr>
                <w:rFonts w:ascii="IBM Plex Serif" w:hAnsi="IBM Plex Serif" w:cs="Arial"/>
                <w:b/>
                <w:bCs/>
                <w:szCs w:val="18"/>
              </w:rPr>
            </w:pPr>
            <w:r w:rsidRPr="00EF7FC0">
              <w:rPr>
                <w:rFonts w:ascii="IBM Plex Serif" w:hAnsi="IBM Plex Serif" w:cs="Arial"/>
                <w:b/>
                <w:bCs/>
                <w:szCs w:val="18"/>
              </w:rPr>
              <w:t>Irodalmak</w:t>
            </w:r>
            <w:r w:rsidRPr="00EF7FC0">
              <w:rPr>
                <w:rStyle w:val="Lbjegyzet-hivatkozs"/>
                <w:rFonts w:ascii="IBM Plex Serif" w:hAnsi="IBM Plex Serif" w:cs="Arial"/>
                <w:b/>
                <w:bCs/>
                <w:szCs w:val="18"/>
              </w:rPr>
              <w:t>1</w:t>
            </w:r>
            <w:r w:rsidR="00701AFB" w:rsidRPr="00701AFB">
              <w:rPr>
                <w:rStyle w:val="Lbjegyzet-hivatkozs"/>
                <w:rFonts w:ascii="IBM Plex Serif" w:hAnsi="IBM Plex Serif" w:cs="Arial"/>
                <w:b/>
                <w:bCs/>
                <w:szCs w:val="18"/>
              </w:rPr>
              <w:t>3</w:t>
            </w:r>
          </w:p>
        </w:tc>
      </w:tr>
      <w:tr w:rsidR="00ED60AA" w:rsidRPr="00EF7FC0" w:rsidTr="0070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12" w:space="0" w:color="auto"/>
              <w:left w:val="single" w:sz="12" w:space="0" w:color="auto"/>
              <w:bottom w:val="single" w:sz="4" w:space="0" w:color="auto"/>
              <w:right w:val="single" w:sz="4" w:space="0" w:color="auto"/>
            </w:tcBorders>
            <w:shd w:val="clear" w:color="auto" w:fill="auto"/>
            <w:hideMark/>
          </w:tcPr>
          <w:p w:rsidR="00ED60AA" w:rsidRPr="00EF7FC0" w:rsidRDefault="00ED60AA" w:rsidP="00EF7FC0">
            <w:pPr>
              <w:autoSpaceDE/>
              <w:autoSpaceDN/>
              <w:jc w:val="left"/>
              <w:rPr>
                <w:rFonts w:ascii="IBM Plex Serif" w:hAnsi="IBM Plex Serif"/>
                <w:b/>
                <w:bCs/>
              </w:rPr>
            </w:pPr>
            <w:r w:rsidRPr="00EF7FC0">
              <w:rPr>
                <w:rFonts w:ascii="IBM Plex Serif" w:hAnsi="IBM Plex Serif"/>
                <w:b/>
                <w:bCs/>
              </w:rPr>
              <w:t>Kötelező:</w:t>
            </w:r>
          </w:p>
        </w:tc>
        <w:tc>
          <w:tcPr>
            <w:tcW w:w="8221" w:type="dxa"/>
            <w:gridSpan w:val="14"/>
            <w:tcBorders>
              <w:top w:val="single" w:sz="12" w:space="0" w:color="auto"/>
              <w:left w:val="single" w:sz="4" w:space="0" w:color="auto"/>
              <w:bottom w:val="single" w:sz="4" w:space="0" w:color="auto"/>
              <w:right w:val="single" w:sz="12" w:space="0" w:color="auto"/>
            </w:tcBorders>
            <w:shd w:val="clear" w:color="auto" w:fill="auto"/>
          </w:tcPr>
          <w:p w:rsidR="00ED60AA" w:rsidRPr="00EF7FC0" w:rsidRDefault="00ED60AA" w:rsidP="00EF7FC0">
            <w:pPr>
              <w:suppressAutoHyphens/>
              <w:ind w:left="34"/>
              <w:jc w:val="left"/>
              <w:rPr>
                <w:rFonts w:ascii="IBM Plex Serif" w:hAnsi="IBM Plex Serif"/>
              </w:rPr>
            </w:pPr>
            <w:r w:rsidRPr="00EF7FC0">
              <w:rPr>
                <w:rFonts w:ascii="IBM Plex Serif" w:hAnsi="IBM Plex Serif"/>
              </w:rPr>
              <w:t>Macskási Levente: A műanyag-feldolgozás technológiája, Bessenyei Könyvkiadó, 2015, ISBN 978-615-5097-63-8</w:t>
            </w:r>
          </w:p>
          <w:p w:rsidR="00ED60AA" w:rsidRPr="00EF7FC0" w:rsidRDefault="00ED60AA" w:rsidP="00EF7FC0">
            <w:pPr>
              <w:suppressAutoHyphens/>
              <w:ind w:left="34"/>
              <w:jc w:val="left"/>
              <w:rPr>
                <w:rFonts w:ascii="IBM Plex Serif" w:hAnsi="IBM Plex Serif"/>
              </w:rPr>
            </w:pPr>
            <w:r w:rsidRPr="00EF7FC0">
              <w:rPr>
                <w:rFonts w:ascii="IBM Plex Serif" w:hAnsi="IBM Plex Serif"/>
              </w:rPr>
              <w:t>Simon-Stőger L., Varga Cs.: Gyakorlati reológia 2023, ISBN 9789633962688</w:t>
            </w:r>
          </w:p>
          <w:p w:rsidR="00ED60AA" w:rsidRPr="00EF7FC0" w:rsidRDefault="00ED60AA" w:rsidP="00EF7FC0">
            <w:pPr>
              <w:suppressAutoHyphens/>
              <w:ind w:left="34"/>
              <w:jc w:val="left"/>
              <w:rPr>
                <w:rFonts w:ascii="IBM Plex Serif" w:hAnsi="IBM Plex Serif"/>
              </w:rPr>
            </w:pPr>
            <w:r w:rsidRPr="00EF7FC0">
              <w:rPr>
                <w:rFonts w:ascii="IBM Plex Serif" w:hAnsi="IBM Plex Serif"/>
              </w:rPr>
              <w:t>Ajánlott:</w:t>
            </w:r>
          </w:p>
          <w:p w:rsidR="00ED60AA" w:rsidRPr="00EF7FC0" w:rsidRDefault="00ED60AA" w:rsidP="00EF7FC0">
            <w:pPr>
              <w:suppressAutoHyphens/>
              <w:ind w:left="34"/>
              <w:jc w:val="left"/>
              <w:rPr>
                <w:rFonts w:ascii="IBM Plex Serif" w:hAnsi="IBM Plex Serif"/>
              </w:rPr>
            </w:pPr>
            <w:r w:rsidRPr="00EF7FC0">
              <w:rPr>
                <w:rFonts w:ascii="IBM Plex Serif" w:hAnsi="IBM Plex Serif"/>
              </w:rPr>
              <w:t>R. Kiesel, Ch. Aumnate: Understanding Plastics Recycling (2</w:t>
            </w:r>
            <w:r w:rsidRPr="00EF7FC0">
              <w:rPr>
                <w:rFonts w:ascii="IBM Plex Serif" w:hAnsi="IBM Plex Serif"/>
                <w:vertAlign w:val="superscript"/>
              </w:rPr>
              <w:t>nd</w:t>
            </w:r>
            <w:r w:rsidRPr="00EF7FC0">
              <w:rPr>
                <w:rFonts w:ascii="IBM Plex Serif" w:hAnsi="IBM Plex Serif"/>
              </w:rPr>
              <w:t xml:space="preserve"> edition), Hanser Publications, 2020, ISBN 156990846X</w:t>
            </w:r>
          </w:p>
          <w:p w:rsidR="00ED60AA" w:rsidRPr="00EF7FC0" w:rsidRDefault="00ED60AA" w:rsidP="00EF7FC0">
            <w:pPr>
              <w:suppressAutoHyphens/>
              <w:ind w:left="34"/>
              <w:jc w:val="left"/>
              <w:rPr>
                <w:rFonts w:ascii="IBM Plex Serif" w:hAnsi="IBM Plex Serif"/>
              </w:rPr>
            </w:pPr>
            <w:r w:rsidRPr="00EF7FC0">
              <w:rPr>
                <w:rFonts w:ascii="IBM Plex Serif" w:hAnsi="IBM Plex Serif"/>
              </w:rPr>
              <w:t>S. Gündogdu: Plastic Waste Trade, Springer, 2024, ISBN 978-3-031-51357-2</w:t>
            </w:r>
          </w:p>
        </w:tc>
      </w:tr>
      <w:tr w:rsidR="00ED60AA" w:rsidRPr="00EF7FC0" w:rsidTr="00701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4" w:space="0" w:color="auto"/>
              <w:left w:val="single" w:sz="12" w:space="0" w:color="auto"/>
              <w:bottom w:val="single" w:sz="12" w:space="0" w:color="auto"/>
              <w:right w:val="single" w:sz="4" w:space="0" w:color="auto"/>
            </w:tcBorders>
            <w:shd w:val="clear" w:color="auto" w:fill="auto"/>
          </w:tcPr>
          <w:p w:rsidR="00ED60AA" w:rsidRPr="00EF7FC0" w:rsidRDefault="00ED60AA" w:rsidP="00EF7FC0">
            <w:pPr>
              <w:autoSpaceDE/>
              <w:autoSpaceDN/>
              <w:jc w:val="left"/>
              <w:rPr>
                <w:rFonts w:ascii="IBM Plex Serif" w:hAnsi="IBM Plex Serif"/>
                <w:b/>
                <w:bCs/>
              </w:rPr>
            </w:pPr>
            <w:r w:rsidRPr="00EF7FC0">
              <w:rPr>
                <w:rFonts w:ascii="IBM Plex Serif" w:hAnsi="IBM Plex Serif"/>
                <w:b/>
                <w:bCs/>
              </w:rPr>
              <w:t>Ajánlott:</w:t>
            </w:r>
          </w:p>
        </w:tc>
        <w:tc>
          <w:tcPr>
            <w:tcW w:w="8221" w:type="dxa"/>
            <w:gridSpan w:val="14"/>
            <w:tcBorders>
              <w:top w:val="single" w:sz="4" w:space="0" w:color="auto"/>
              <w:left w:val="single" w:sz="4" w:space="0" w:color="auto"/>
              <w:bottom w:val="single" w:sz="12" w:space="0" w:color="auto"/>
              <w:right w:val="single" w:sz="12" w:space="0" w:color="auto"/>
            </w:tcBorders>
            <w:shd w:val="clear" w:color="auto" w:fill="auto"/>
          </w:tcPr>
          <w:p w:rsidR="00ED60AA" w:rsidRPr="00EF7FC0" w:rsidRDefault="00ED60AA" w:rsidP="00EF7FC0">
            <w:pPr>
              <w:autoSpaceDE/>
              <w:autoSpaceDN/>
              <w:jc w:val="left"/>
              <w:rPr>
                <w:rFonts w:ascii="IBM Plex Serif" w:hAnsi="IBM Plex Serif"/>
                <w:b/>
                <w:bCs/>
              </w:rPr>
            </w:pPr>
            <w:r w:rsidRPr="00EF7FC0">
              <w:rPr>
                <w:rFonts w:ascii="IBM Plex Serif" w:hAnsi="IBM Plex Serif"/>
              </w:rPr>
              <w:t xml:space="preserve"> </w:t>
            </w:r>
            <w:r w:rsidR="00EF7FC0">
              <w:rPr>
                <w:rFonts w:ascii="IBM Plex Serif" w:hAnsi="IBM Plex Serif"/>
              </w:rPr>
              <w:t>-</w:t>
            </w:r>
          </w:p>
        </w:tc>
      </w:tr>
    </w:tbl>
    <w:p w:rsidR="007D3E9C" w:rsidRPr="00EF7FC0" w:rsidRDefault="007D3E9C" w:rsidP="007D3E9C">
      <w:pPr>
        <w:pStyle w:val="Lbjegyzetszveg"/>
        <w:rPr>
          <w:rFonts w:ascii="IBM Plex Serif" w:hAnsi="IBM Plex Serif"/>
        </w:rPr>
      </w:pPr>
    </w:p>
    <w:sectPr w:rsidR="007D3E9C" w:rsidRPr="00EF7F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53" w:rsidRDefault="006A7653" w:rsidP="00A53ED8">
      <w:r>
        <w:separator/>
      </w:r>
    </w:p>
  </w:endnote>
  <w:endnote w:type="continuationSeparator" w:id="0">
    <w:p w:rsidR="006A7653" w:rsidRDefault="006A7653" w:rsidP="00A5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53" w:rsidRDefault="006A7653" w:rsidP="00A53ED8">
      <w:r>
        <w:separator/>
      </w:r>
    </w:p>
  </w:footnote>
  <w:footnote w:type="continuationSeparator" w:id="0">
    <w:p w:rsidR="006A7653" w:rsidRDefault="006A7653" w:rsidP="00A5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B24"/>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15:restartNumberingAfterBreak="0">
    <w:nsid w:val="05C64009"/>
    <w:multiLevelType w:val="hybridMultilevel"/>
    <w:tmpl w:val="DCE6041A"/>
    <w:lvl w:ilvl="0" w:tplc="EDDCB3FA">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 w15:restartNumberingAfterBreak="0">
    <w:nsid w:val="09B045F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9A10BE"/>
    <w:multiLevelType w:val="hybridMultilevel"/>
    <w:tmpl w:val="0A8E5B7E"/>
    <w:lvl w:ilvl="0" w:tplc="C8FAA15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1C6E67F0"/>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22C77128"/>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2A9E1820"/>
    <w:multiLevelType w:val="hybridMultilevel"/>
    <w:tmpl w:val="6066822E"/>
    <w:lvl w:ilvl="0" w:tplc="BAD89F58">
      <w:start w:val="1"/>
      <w:numFmt w:val="decimal"/>
      <w:lvlText w:val="%1."/>
      <w:lvlJc w:val="left"/>
      <w:pPr>
        <w:ind w:left="394" w:hanging="360"/>
      </w:pPr>
      <w:rPr>
        <w:rFonts w:ascii="Times New Roman" w:hAnsi="Times New Roman"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 w15:restartNumberingAfterBreak="0">
    <w:nsid w:val="440E0494"/>
    <w:multiLevelType w:val="hybridMultilevel"/>
    <w:tmpl w:val="673CEB80"/>
    <w:lvl w:ilvl="0" w:tplc="040E000F">
      <w:start w:val="1"/>
      <w:numFmt w:val="decimal"/>
      <w:lvlText w:val="%1."/>
      <w:lvlJc w:val="left"/>
      <w:pPr>
        <w:ind w:left="720" w:hanging="360"/>
      </w:pPr>
    </w:lvl>
    <w:lvl w:ilvl="1" w:tplc="049C4D9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28145F"/>
    <w:multiLevelType w:val="hybridMultilevel"/>
    <w:tmpl w:val="7B840F7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5F2C77C4"/>
    <w:multiLevelType w:val="hybridMultilevel"/>
    <w:tmpl w:val="7040E988"/>
    <w:lvl w:ilvl="0" w:tplc="D80E1CAC">
      <w:start w:val="2024"/>
      <w:numFmt w:val="bullet"/>
      <w:lvlText w:val="-"/>
      <w:lvlJc w:val="left"/>
      <w:pPr>
        <w:ind w:left="536" w:hanging="360"/>
      </w:pPr>
      <w:rPr>
        <w:rFonts w:ascii="Playfair Display" w:eastAsia="Times New Roman" w:hAnsi="Playfair Display" w:cs="Times New Roman"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0" w15:restartNumberingAfterBreak="0">
    <w:nsid w:val="62923D8D"/>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1" w15:restartNumberingAfterBreak="0">
    <w:nsid w:val="631D1C56"/>
    <w:multiLevelType w:val="hybridMultilevel"/>
    <w:tmpl w:val="7D98C898"/>
    <w:lvl w:ilvl="0" w:tplc="4226F8CE">
      <w:start w:val="18"/>
      <w:numFmt w:val="bullet"/>
      <w:lvlText w:val="-"/>
      <w:lvlJc w:val="left"/>
      <w:pPr>
        <w:ind w:left="720" w:hanging="360"/>
      </w:pPr>
      <w:rPr>
        <w:rFonts w:ascii="Playfair Display" w:eastAsia="Times New Roman" w:hAnsi="Playfair Displ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1709E"/>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7"/>
  </w:num>
  <w:num w:numId="2">
    <w:abstractNumId w:val="8"/>
  </w:num>
  <w:num w:numId="3">
    <w:abstractNumId w:val="12"/>
  </w:num>
  <w:num w:numId="4">
    <w:abstractNumId w:val="2"/>
  </w:num>
  <w:num w:numId="5">
    <w:abstractNumId w:val="1"/>
  </w:num>
  <w:num w:numId="6">
    <w:abstractNumId w:val="4"/>
  </w:num>
  <w:num w:numId="7">
    <w:abstractNumId w:val="11"/>
  </w:num>
  <w:num w:numId="8">
    <w:abstractNumId w:val="5"/>
  </w:num>
  <w:num w:numId="9">
    <w:abstractNumId w:val="9"/>
  </w:num>
  <w:num w:numId="10">
    <w:abstractNumId w:val="6"/>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C"/>
    <w:rsid w:val="00007183"/>
    <w:rsid w:val="00016641"/>
    <w:rsid w:val="000214FF"/>
    <w:rsid w:val="00054CFB"/>
    <w:rsid w:val="00087B74"/>
    <w:rsid w:val="001022F4"/>
    <w:rsid w:val="00105117"/>
    <w:rsid w:val="001363EE"/>
    <w:rsid w:val="00157BAA"/>
    <w:rsid w:val="00166C56"/>
    <w:rsid w:val="001C0924"/>
    <w:rsid w:val="002110BF"/>
    <w:rsid w:val="00264256"/>
    <w:rsid w:val="002D62CA"/>
    <w:rsid w:val="00305BB9"/>
    <w:rsid w:val="00316F4C"/>
    <w:rsid w:val="00473BD9"/>
    <w:rsid w:val="00492A1B"/>
    <w:rsid w:val="004B62CF"/>
    <w:rsid w:val="0051261F"/>
    <w:rsid w:val="005176A0"/>
    <w:rsid w:val="005409BC"/>
    <w:rsid w:val="005816C5"/>
    <w:rsid w:val="005E149E"/>
    <w:rsid w:val="005E7293"/>
    <w:rsid w:val="00670094"/>
    <w:rsid w:val="006A7653"/>
    <w:rsid w:val="006D0EF0"/>
    <w:rsid w:val="00701AFB"/>
    <w:rsid w:val="007D3E9C"/>
    <w:rsid w:val="007E037C"/>
    <w:rsid w:val="00831335"/>
    <w:rsid w:val="00833E86"/>
    <w:rsid w:val="008B3EFE"/>
    <w:rsid w:val="008C2BD3"/>
    <w:rsid w:val="00932526"/>
    <w:rsid w:val="009377E1"/>
    <w:rsid w:val="00980953"/>
    <w:rsid w:val="00984187"/>
    <w:rsid w:val="009A7064"/>
    <w:rsid w:val="009C627F"/>
    <w:rsid w:val="009D0B1E"/>
    <w:rsid w:val="009F3726"/>
    <w:rsid w:val="00A124E3"/>
    <w:rsid w:val="00A30ADE"/>
    <w:rsid w:val="00A53ED8"/>
    <w:rsid w:val="00A65E69"/>
    <w:rsid w:val="00AA4361"/>
    <w:rsid w:val="00AB6D25"/>
    <w:rsid w:val="00B05257"/>
    <w:rsid w:val="00C04760"/>
    <w:rsid w:val="00C05BA9"/>
    <w:rsid w:val="00D016EC"/>
    <w:rsid w:val="00D35F25"/>
    <w:rsid w:val="00D905C5"/>
    <w:rsid w:val="00DA34DC"/>
    <w:rsid w:val="00E055F6"/>
    <w:rsid w:val="00E90474"/>
    <w:rsid w:val="00ED4617"/>
    <w:rsid w:val="00ED60AA"/>
    <w:rsid w:val="00EF7FC0"/>
    <w:rsid w:val="00F0434E"/>
    <w:rsid w:val="00F17F32"/>
    <w:rsid w:val="00F44F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4CDB"/>
  <w15:chartTrackingRefBased/>
  <w15:docId w15:val="{1D4BE2CF-8536-42D8-862C-CAC74CA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16EC"/>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17F32"/>
    <w:rPr>
      <w:color w:val="808080"/>
    </w:rPr>
  </w:style>
  <w:style w:type="paragraph" w:styleId="Lbjegyzetszveg">
    <w:name w:val="footnote text"/>
    <w:basedOn w:val="Norml"/>
    <w:link w:val="LbjegyzetszvegChar"/>
    <w:uiPriority w:val="99"/>
    <w:semiHidden/>
    <w:unhideWhenUsed/>
    <w:rsid w:val="00A53ED8"/>
    <w:rPr>
      <w:sz w:val="20"/>
      <w:szCs w:val="20"/>
    </w:rPr>
  </w:style>
  <w:style w:type="character" w:customStyle="1" w:styleId="LbjegyzetszvegChar">
    <w:name w:val="Lábjegyzetszöveg Char"/>
    <w:basedOn w:val="Bekezdsalapbettpusa"/>
    <w:link w:val="Lbjegyzetszveg"/>
    <w:uiPriority w:val="99"/>
    <w:semiHidden/>
    <w:rsid w:val="00A53ED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53ED8"/>
    <w:rPr>
      <w:vertAlign w:val="superscript"/>
    </w:rPr>
  </w:style>
  <w:style w:type="paragraph" w:styleId="Vgjegyzetszvege">
    <w:name w:val="endnote text"/>
    <w:basedOn w:val="Norml"/>
    <w:link w:val="VgjegyzetszvegeChar"/>
    <w:uiPriority w:val="99"/>
    <w:semiHidden/>
    <w:unhideWhenUsed/>
    <w:rsid w:val="00A65E69"/>
    <w:rPr>
      <w:sz w:val="20"/>
      <w:szCs w:val="20"/>
    </w:rPr>
  </w:style>
  <w:style w:type="character" w:customStyle="1" w:styleId="VgjegyzetszvegeChar">
    <w:name w:val="Végjegyzet szövege Char"/>
    <w:basedOn w:val="Bekezdsalapbettpusa"/>
    <w:link w:val="Vgjegyzetszvege"/>
    <w:uiPriority w:val="99"/>
    <w:semiHidden/>
    <w:rsid w:val="00A65E69"/>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A65E69"/>
    <w:rPr>
      <w:vertAlign w:val="superscript"/>
    </w:rPr>
  </w:style>
  <w:style w:type="character" w:styleId="Hiperhivatkozs">
    <w:name w:val="Hyperlink"/>
    <w:basedOn w:val="Bekezdsalapbettpusa"/>
    <w:uiPriority w:val="99"/>
    <w:unhideWhenUsed/>
    <w:rsid w:val="00087B74"/>
    <w:rPr>
      <w:color w:val="0563C1" w:themeColor="hyperlink"/>
      <w:u w:val="single"/>
    </w:rPr>
  </w:style>
  <w:style w:type="paragraph" w:styleId="Listaszerbekezds">
    <w:name w:val="List Paragraph"/>
    <w:basedOn w:val="Norml"/>
    <w:uiPriority w:val="34"/>
    <w:qFormat/>
    <w:rsid w:val="00E90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626">
      <w:bodyDiv w:val="1"/>
      <w:marLeft w:val="0"/>
      <w:marRight w:val="0"/>
      <w:marTop w:val="0"/>
      <w:marBottom w:val="0"/>
      <w:divBdr>
        <w:top w:val="none" w:sz="0" w:space="0" w:color="auto"/>
        <w:left w:val="none" w:sz="0" w:space="0" w:color="auto"/>
        <w:bottom w:val="none" w:sz="0" w:space="0" w:color="auto"/>
        <w:right w:val="none" w:sz="0" w:space="0" w:color="auto"/>
      </w:divBdr>
    </w:div>
    <w:div w:id="683440902">
      <w:bodyDiv w:val="1"/>
      <w:marLeft w:val="0"/>
      <w:marRight w:val="0"/>
      <w:marTop w:val="0"/>
      <w:marBottom w:val="0"/>
      <w:divBdr>
        <w:top w:val="none" w:sz="0" w:space="0" w:color="auto"/>
        <w:left w:val="none" w:sz="0" w:space="0" w:color="auto"/>
        <w:bottom w:val="none" w:sz="0" w:space="0" w:color="auto"/>
        <w:right w:val="none" w:sz="0" w:space="0" w:color="auto"/>
      </w:divBdr>
    </w:div>
    <w:div w:id="835997088">
      <w:bodyDiv w:val="1"/>
      <w:marLeft w:val="0"/>
      <w:marRight w:val="0"/>
      <w:marTop w:val="0"/>
      <w:marBottom w:val="0"/>
      <w:divBdr>
        <w:top w:val="none" w:sz="0" w:space="0" w:color="auto"/>
        <w:left w:val="none" w:sz="0" w:space="0" w:color="auto"/>
        <w:bottom w:val="none" w:sz="0" w:space="0" w:color="auto"/>
        <w:right w:val="none" w:sz="0" w:space="0" w:color="auto"/>
      </w:divBdr>
    </w:div>
    <w:div w:id="902906193">
      <w:bodyDiv w:val="1"/>
      <w:marLeft w:val="0"/>
      <w:marRight w:val="0"/>
      <w:marTop w:val="0"/>
      <w:marBottom w:val="0"/>
      <w:divBdr>
        <w:top w:val="none" w:sz="0" w:space="0" w:color="auto"/>
        <w:left w:val="none" w:sz="0" w:space="0" w:color="auto"/>
        <w:bottom w:val="none" w:sz="0" w:space="0" w:color="auto"/>
        <w:right w:val="none" w:sz="0" w:space="0" w:color="auto"/>
      </w:divBdr>
    </w:div>
    <w:div w:id="1414083544">
      <w:bodyDiv w:val="1"/>
      <w:marLeft w:val="0"/>
      <w:marRight w:val="0"/>
      <w:marTop w:val="0"/>
      <w:marBottom w:val="0"/>
      <w:divBdr>
        <w:top w:val="none" w:sz="0" w:space="0" w:color="auto"/>
        <w:left w:val="none" w:sz="0" w:space="0" w:color="auto"/>
        <w:bottom w:val="none" w:sz="0" w:space="0" w:color="auto"/>
        <w:right w:val="none" w:sz="0" w:space="0" w:color="auto"/>
      </w:divBdr>
      <w:divsChild>
        <w:div w:id="1744719784">
          <w:marLeft w:val="0"/>
          <w:marRight w:val="0"/>
          <w:marTop w:val="0"/>
          <w:marBottom w:val="0"/>
          <w:divBdr>
            <w:top w:val="single" w:sz="2" w:space="0" w:color="E5E7EB"/>
            <w:left w:val="single" w:sz="2" w:space="0" w:color="E5E7EB"/>
            <w:bottom w:val="single" w:sz="2" w:space="0" w:color="E5E7EB"/>
            <w:right w:val="single" w:sz="2" w:space="0" w:color="E5E7EB"/>
          </w:divBdr>
        </w:div>
        <w:div w:id="201792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5781749">
      <w:bodyDiv w:val="1"/>
      <w:marLeft w:val="0"/>
      <w:marRight w:val="0"/>
      <w:marTop w:val="0"/>
      <w:marBottom w:val="0"/>
      <w:divBdr>
        <w:top w:val="none" w:sz="0" w:space="0" w:color="auto"/>
        <w:left w:val="none" w:sz="0" w:space="0" w:color="auto"/>
        <w:bottom w:val="none" w:sz="0" w:space="0" w:color="auto"/>
        <w:right w:val="none" w:sz="0" w:space="0" w:color="auto"/>
      </w:divBdr>
      <w:divsChild>
        <w:div w:id="2115395002">
          <w:marLeft w:val="0"/>
          <w:marRight w:val="0"/>
          <w:marTop w:val="0"/>
          <w:marBottom w:val="0"/>
          <w:divBdr>
            <w:top w:val="none" w:sz="0" w:space="0" w:color="auto"/>
            <w:left w:val="none" w:sz="0" w:space="0" w:color="auto"/>
            <w:bottom w:val="none" w:sz="0" w:space="0" w:color="auto"/>
            <w:right w:val="none" w:sz="0" w:space="0" w:color="auto"/>
          </w:divBdr>
        </w:div>
      </w:divsChild>
    </w:div>
    <w:div w:id="1577398301">
      <w:bodyDiv w:val="1"/>
      <w:marLeft w:val="0"/>
      <w:marRight w:val="0"/>
      <w:marTop w:val="0"/>
      <w:marBottom w:val="0"/>
      <w:divBdr>
        <w:top w:val="none" w:sz="0" w:space="0" w:color="auto"/>
        <w:left w:val="none" w:sz="0" w:space="0" w:color="auto"/>
        <w:bottom w:val="none" w:sz="0" w:space="0" w:color="auto"/>
        <w:right w:val="none" w:sz="0" w:space="0" w:color="auto"/>
      </w:divBdr>
    </w:div>
    <w:div w:id="1619992101">
      <w:bodyDiv w:val="1"/>
      <w:marLeft w:val="0"/>
      <w:marRight w:val="0"/>
      <w:marTop w:val="0"/>
      <w:marBottom w:val="0"/>
      <w:divBdr>
        <w:top w:val="none" w:sz="0" w:space="0" w:color="auto"/>
        <w:left w:val="none" w:sz="0" w:space="0" w:color="auto"/>
        <w:bottom w:val="none" w:sz="0" w:space="0" w:color="auto"/>
        <w:right w:val="none" w:sz="0" w:space="0" w:color="auto"/>
      </w:divBdr>
    </w:div>
    <w:div w:id="1969621202">
      <w:bodyDiv w:val="1"/>
      <w:marLeft w:val="0"/>
      <w:marRight w:val="0"/>
      <w:marTop w:val="0"/>
      <w:marBottom w:val="0"/>
      <w:divBdr>
        <w:top w:val="none" w:sz="0" w:space="0" w:color="auto"/>
        <w:left w:val="none" w:sz="0" w:space="0" w:color="auto"/>
        <w:bottom w:val="none" w:sz="0" w:space="0" w:color="auto"/>
        <w:right w:val="none" w:sz="0" w:space="0" w:color="auto"/>
      </w:divBdr>
      <w:divsChild>
        <w:div w:id="1249197057">
          <w:marLeft w:val="0"/>
          <w:marRight w:val="0"/>
          <w:marTop w:val="0"/>
          <w:marBottom w:val="0"/>
          <w:divBdr>
            <w:top w:val="single" w:sz="2" w:space="0" w:color="E5E7EB"/>
            <w:left w:val="single" w:sz="2" w:space="0" w:color="E5E7EB"/>
            <w:bottom w:val="single" w:sz="2" w:space="0" w:color="E5E7EB"/>
            <w:right w:val="single" w:sz="2" w:space="0" w:color="E5E7EB"/>
          </w:divBdr>
        </w:div>
        <w:div w:id="207508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850B6BEEE4E6DA1B7C73FE2F585BE"/>
        <w:category>
          <w:name w:val="Általános"/>
          <w:gallery w:val="placeholder"/>
        </w:category>
        <w:types>
          <w:type w:val="bbPlcHdr"/>
        </w:types>
        <w:behaviors>
          <w:behavior w:val="content"/>
        </w:behaviors>
        <w:guid w:val="{0DA1D51C-030B-4146-8E8A-0CD841D6BBB7}"/>
      </w:docPartPr>
      <w:docPartBody>
        <w:p w:rsidR="00D247F7" w:rsidRDefault="00E005FB" w:rsidP="00E005FB">
          <w:pPr>
            <w:pStyle w:val="CF3850B6BEEE4E6DA1B7C73FE2F585BE4"/>
          </w:pPr>
          <w:r w:rsidRPr="00705840">
            <w:rPr>
              <w:rStyle w:val="Helyrzszveg"/>
              <w:rFonts w:eastAsiaTheme="minorHAnsi"/>
            </w:rPr>
            <w:t>Jelöljön ki egy elemet.</w:t>
          </w:r>
        </w:p>
      </w:docPartBody>
    </w:docPart>
    <w:docPart>
      <w:docPartPr>
        <w:name w:val="2B7B11E6A8054F6DBAF2FD06DEC5C0D3"/>
        <w:category>
          <w:name w:val="Általános"/>
          <w:gallery w:val="placeholder"/>
        </w:category>
        <w:types>
          <w:type w:val="bbPlcHdr"/>
        </w:types>
        <w:behaviors>
          <w:behavior w:val="content"/>
        </w:behaviors>
        <w:guid w:val="{41D0B630-07F3-4DDA-A5A1-50F8E12B697F}"/>
      </w:docPartPr>
      <w:docPartBody>
        <w:p w:rsidR="00D247F7" w:rsidRDefault="00E005FB" w:rsidP="00E005FB">
          <w:pPr>
            <w:pStyle w:val="2B7B11E6A8054F6DBAF2FD06DEC5C0D34"/>
          </w:pPr>
          <w:r w:rsidRPr="00705840">
            <w:rPr>
              <w:rStyle w:val="Helyrzszveg"/>
              <w:rFonts w:eastAsiaTheme="minorHAnsi"/>
            </w:rPr>
            <w:t>Jelöljön ki egy elemet.</w:t>
          </w:r>
        </w:p>
      </w:docPartBody>
    </w:docPart>
    <w:docPart>
      <w:docPartPr>
        <w:name w:val="7364E883334A480FB8A1102BCA9FC444"/>
        <w:category>
          <w:name w:val="Általános"/>
          <w:gallery w:val="placeholder"/>
        </w:category>
        <w:types>
          <w:type w:val="bbPlcHdr"/>
        </w:types>
        <w:behaviors>
          <w:behavior w:val="content"/>
        </w:behaviors>
        <w:guid w:val="{573BF37F-3C06-4E33-8861-56F38FC392A3}"/>
      </w:docPartPr>
      <w:docPartBody>
        <w:p w:rsidR="00D247F7" w:rsidRDefault="00E005FB" w:rsidP="00E005FB">
          <w:pPr>
            <w:pStyle w:val="7364E883334A480FB8A1102BCA9FC4443"/>
          </w:pPr>
          <w:r w:rsidRPr="00705840">
            <w:rPr>
              <w:rStyle w:val="Helyrzszveg"/>
              <w:rFonts w:eastAsiaTheme="minorHAnsi"/>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B"/>
    <w:rsid w:val="003E1ED7"/>
    <w:rsid w:val="004B07E7"/>
    <w:rsid w:val="005A3B2C"/>
    <w:rsid w:val="0066651D"/>
    <w:rsid w:val="008815BD"/>
    <w:rsid w:val="00934BCC"/>
    <w:rsid w:val="00AB2C47"/>
    <w:rsid w:val="00C371CD"/>
    <w:rsid w:val="00C70284"/>
    <w:rsid w:val="00C77DA3"/>
    <w:rsid w:val="00CB2DFC"/>
    <w:rsid w:val="00D247F7"/>
    <w:rsid w:val="00D43DEA"/>
    <w:rsid w:val="00E005FB"/>
    <w:rsid w:val="00E202AC"/>
    <w:rsid w:val="00E840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005FB"/>
    <w:rPr>
      <w:color w:val="808080"/>
    </w:rPr>
  </w:style>
  <w:style w:type="paragraph" w:customStyle="1" w:styleId="CF3850B6BEEE4E6DA1B7C73FE2F585BE">
    <w:name w:val="CF3850B6BEEE4E6DA1B7C73FE2F585BE"/>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D98FF7DFBBBE4B299DA7241B58603848">
    <w:name w:val="D98FF7DFBBBE4B299DA7241B58603848"/>
    <w:rsid w:val="00E005FB"/>
  </w:style>
  <w:style w:type="paragraph" w:customStyle="1" w:styleId="2B7B11E6A8054F6DBAF2FD06DEC5C0D3">
    <w:name w:val="2B7B11E6A8054F6DBAF2FD06DEC5C0D3"/>
    <w:rsid w:val="00E005FB"/>
  </w:style>
  <w:style w:type="paragraph" w:customStyle="1" w:styleId="42010B907F394177AFEA2AFC111D007E">
    <w:name w:val="42010B907F394177AFEA2AFC111D007E"/>
    <w:rsid w:val="00E005FB"/>
  </w:style>
  <w:style w:type="paragraph" w:customStyle="1" w:styleId="8257DF1904AD4BB0BB99B9DCD267B3AB">
    <w:name w:val="8257DF1904AD4BB0BB99B9DCD267B3AB"/>
    <w:rsid w:val="00E005FB"/>
  </w:style>
  <w:style w:type="paragraph" w:customStyle="1" w:styleId="F6473940ABA048ADA69DD4F28DB64A00">
    <w:name w:val="F6473940ABA048ADA69DD4F28DB64A00"/>
    <w:rsid w:val="00E005FB"/>
  </w:style>
  <w:style w:type="paragraph" w:customStyle="1" w:styleId="2B7B11E6A8054F6DBAF2FD06DEC5C0D31">
    <w:name w:val="2B7B11E6A8054F6DBAF2FD06DEC5C0D3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1">
    <w:name w:val="F6473940ABA048ADA69DD4F28DB64A00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1">
    <w:name w:val="CF3850B6BEEE4E6DA1B7C73FE2F585BE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
    <w:name w:val="7364E883334A480FB8A1102BCA9FC44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F08119AF36941679A8641722EFC91E9">
    <w:name w:val="5F08119AF36941679A8641722EFC91E9"/>
    <w:rsid w:val="00E005FB"/>
  </w:style>
  <w:style w:type="paragraph" w:customStyle="1" w:styleId="15B38239A4574E63A6F9D0C306E77A1C">
    <w:name w:val="15B38239A4574E63A6F9D0C306E77A1C"/>
    <w:rsid w:val="00E005FB"/>
  </w:style>
  <w:style w:type="paragraph" w:customStyle="1" w:styleId="2B7B11E6A8054F6DBAF2FD06DEC5C0D32">
    <w:name w:val="2B7B11E6A8054F6DBAF2FD06DEC5C0D3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2">
    <w:name w:val="F6473940ABA048ADA69DD4F28DB64A00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2">
    <w:name w:val="CF3850B6BEEE4E6DA1B7C73FE2F585BE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1">
    <w:name w:val="7364E883334A480FB8A1102BCA9FC444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
    <w:name w:val="57F721D7511A4067A0C102E2C1A5D50B"/>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3">
    <w:name w:val="2B7B11E6A8054F6DBAF2FD06DEC5C0D3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3">
    <w:name w:val="F6473940ABA048ADA69DD4F28DB64A00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3">
    <w:name w:val="CF3850B6BEEE4E6DA1B7C73FE2F585BE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2">
    <w:name w:val="7364E883334A480FB8A1102BCA9FC444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1">
    <w:name w:val="57F721D7511A4067A0C102E2C1A5D50B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4">
    <w:name w:val="2B7B11E6A8054F6DBAF2FD06DEC5C0D3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4">
    <w:name w:val="F6473940ABA048ADA69DD4F28DB64A00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4">
    <w:name w:val="CF3850B6BEEE4E6DA1B7C73FE2F585BE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3">
    <w:name w:val="7364E883334A480FB8A1102BCA9FC4443"/>
    <w:rsid w:val="00E005FB"/>
    <w:pPr>
      <w:autoSpaceDE w:val="0"/>
      <w:autoSpaceDN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707264B298AF5458EEDC87F138804E0" ma:contentTypeVersion="5" ma:contentTypeDescription="Új dokumentum létrehozása." ma:contentTypeScope="" ma:versionID="4fde32ccfb57c2cfc1c091d4b8850948">
  <xsd:schema xmlns:xsd="http://www.w3.org/2001/XMLSchema" xmlns:xs="http://www.w3.org/2001/XMLSchema" xmlns:p="http://schemas.microsoft.com/office/2006/metadata/properties" xmlns:ns2="61badf4c-b4a4-41e1-bb24-4247ef8e01bb" targetNamespace="http://schemas.microsoft.com/office/2006/metadata/properties" ma:root="true" ma:fieldsID="798f9111bc99c127ef8489d2238c7dee" ns2:_="">
    <xsd:import namespace="61badf4c-b4a4-41e1-bb24-4247ef8e01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c1_llap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df4c-b4a4-41e1-bb24-4247ef8e0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c1_llapot" ma:index="12" nillable="true" ma:displayName="Állapot" ma:format="Dropdown" ma:internalName="_x00c1_llapo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c1_llapot xmlns="61badf4c-b4a4-41e1-bb24-4247ef8e0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B70B-DCA5-448E-BA5C-6D3C4476E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df4c-b4a4-41e1-bb24-4247ef8e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06AB7-5DEF-4DCA-96AE-9518FD6DAF00}">
  <ds:schemaRefs>
    <ds:schemaRef ds:uri="http://schemas.microsoft.com/office/2006/metadata/properties"/>
    <ds:schemaRef ds:uri="http://schemas.microsoft.com/office/infopath/2007/PartnerControls"/>
    <ds:schemaRef ds:uri="61badf4c-b4a4-41e1-bb24-4247ef8e01bb"/>
  </ds:schemaRefs>
</ds:datastoreItem>
</file>

<file path=customXml/itemProps3.xml><?xml version="1.0" encoding="utf-8"?>
<ds:datastoreItem xmlns:ds="http://schemas.openxmlformats.org/officeDocument/2006/customXml" ds:itemID="{46D62850-249E-473A-96D3-DECCB2E3A5BF}">
  <ds:schemaRefs>
    <ds:schemaRef ds:uri="http://schemas.microsoft.com/sharepoint/v3/contenttype/forms"/>
  </ds:schemaRefs>
</ds:datastoreItem>
</file>

<file path=customXml/itemProps4.xml><?xml version="1.0" encoding="utf-8"?>
<ds:datastoreItem xmlns:ds="http://schemas.openxmlformats.org/officeDocument/2006/customXml" ds:itemID="{F4CEB69E-BCA0-44DF-957D-B50B177C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1037</Words>
  <Characters>7163</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Zaránd Szilvia</dc:creator>
  <cp:keywords/>
  <dc:description/>
  <cp:lastModifiedBy>USER</cp:lastModifiedBy>
  <cp:revision>5</cp:revision>
  <dcterms:created xsi:type="dcterms:W3CDTF">2024-11-07T11:07:00Z</dcterms:created>
  <dcterms:modified xsi:type="dcterms:W3CDTF">2024-11-19T09:53:00Z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0x0101004707264B298AF5458EEDC87F138804E0</vt:lpwstr>
  </property>
</Properties>
</file>