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850"/>
        <w:gridCol w:w="676"/>
        <w:gridCol w:w="138"/>
        <w:gridCol w:w="137"/>
        <w:gridCol w:w="136"/>
        <w:gridCol w:w="946"/>
        <w:gridCol w:w="53"/>
        <w:gridCol w:w="355"/>
        <w:gridCol w:w="1528"/>
        <w:gridCol w:w="426"/>
        <w:gridCol w:w="70"/>
        <w:gridCol w:w="270"/>
        <w:gridCol w:w="1502"/>
        <w:gridCol w:w="1134"/>
      </w:tblGrid>
      <w:tr w:rsidR="00AA4361" w:rsidRPr="001939C6" w:rsidTr="003D2BBF">
        <w:trPr>
          <w:cantSplit/>
        </w:trPr>
        <w:tc>
          <w:tcPr>
            <w:tcW w:w="3204" w:type="dxa"/>
            <w:gridSpan w:val="5"/>
            <w:tcBorders>
              <w:top w:val="single" w:sz="12" w:space="0" w:color="auto"/>
            </w:tcBorders>
            <w:shd w:val="clear" w:color="auto" w:fill="BDD6EE" w:themeFill="accent1" w:themeFillTint="66"/>
          </w:tcPr>
          <w:p w:rsidR="00AA4361" w:rsidRPr="001939C6" w:rsidRDefault="00AA4361" w:rsidP="00D016EC">
            <w:pPr>
              <w:rPr>
                <w:rFonts w:ascii="IBM Plex Serif" w:hAnsi="IBM Plex Serif"/>
              </w:rPr>
            </w:pPr>
            <w:r w:rsidRPr="001939C6">
              <w:rPr>
                <w:rFonts w:ascii="IBM Plex Serif" w:hAnsi="IBM Plex Serif"/>
                <w:b/>
                <w:bCs/>
              </w:rPr>
              <w:t>A tantárgy neve:</w:t>
            </w:r>
            <w:r w:rsidRPr="001939C6">
              <w:rPr>
                <w:rFonts w:ascii="IBM Plex Serif" w:hAnsi="IBM Plex Serif"/>
              </w:rPr>
              <w:t xml:space="preserve"> </w:t>
            </w:r>
          </w:p>
        </w:tc>
        <w:tc>
          <w:tcPr>
            <w:tcW w:w="6420" w:type="dxa"/>
            <w:gridSpan w:val="10"/>
            <w:tcBorders>
              <w:top w:val="single" w:sz="12" w:space="0" w:color="auto"/>
            </w:tcBorders>
          </w:tcPr>
          <w:p w:rsidR="00AA4361" w:rsidRPr="001939C6" w:rsidRDefault="00033770" w:rsidP="00D016EC">
            <w:pPr>
              <w:rPr>
                <w:rFonts w:ascii="IBM Plex Serif" w:hAnsi="IBM Plex Serif"/>
              </w:rPr>
            </w:pPr>
            <w:r w:rsidRPr="00033770">
              <w:rPr>
                <w:rFonts w:ascii="IBM Plex Serif" w:hAnsi="IBM Plex Serif"/>
                <w:b/>
              </w:rPr>
              <w:t>Környezetvédelem</w:t>
            </w:r>
          </w:p>
        </w:tc>
      </w:tr>
      <w:tr w:rsidR="00AA4361" w:rsidRPr="001939C6" w:rsidTr="003D2BBF">
        <w:trPr>
          <w:cantSplit/>
        </w:trPr>
        <w:tc>
          <w:tcPr>
            <w:tcW w:w="3204" w:type="dxa"/>
            <w:gridSpan w:val="5"/>
            <w:shd w:val="clear" w:color="auto" w:fill="BDD6EE" w:themeFill="accent1" w:themeFillTint="66"/>
          </w:tcPr>
          <w:p w:rsidR="00AA4361" w:rsidRPr="001939C6" w:rsidRDefault="00AA4361" w:rsidP="00202476">
            <w:pPr>
              <w:rPr>
                <w:rFonts w:ascii="IBM Plex Serif" w:hAnsi="IBM Plex Serif"/>
                <w:b/>
                <w:bCs/>
                <w:highlight w:val="yellow"/>
              </w:rPr>
            </w:pPr>
            <w:r w:rsidRPr="001939C6">
              <w:rPr>
                <w:rFonts w:ascii="IBM Plex Serif" w:hAnsi="IBM Plex Serif"/>
                <w:b/>
                <w:bCs/>
              </w:rPr>
              <w:t xml:space="preserve">A tantárgy neve angolul: </w:t>
            </w:r>
          </w:p>
        </w:tc>
        <w:tc>
          <w:tcPr>
            <w:tcW w:w="6420" w:type="dxa"/>
            <w:gridSpan w:val="10"/>
          </w:tcPr>
          <w:p w:rsidR="00AA4361" w:rsidRPr="001939C6" w:rsidRDefault="00033770" w:rsidP="00202476">
            <w:pPr>
              <w:rPr>
                <w:rFonts w:ascii="IBM Plex Serif" w:hAnsi="IBM Plex Serif"/>
              </w:rPr>
            </w:pPr>
            <w:proofErr w:type="spellStart"/>
            <w:r w:rsidRPr="00033770">
              <w:rPr>
                <w:rFonts w:ascii="IBM Plex Serif" w:hAnsi="IBM Plex Serif"/>
              </w:rPr>
              <w:t>Environmental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Protection</w:t>
            </w:r>
            <w:proofErr w:type="spellEnd"/>
          </w:p>
        </w:tc>
      </w:tr>
      <w:tr w:rsidR="00AA4361" w:rsidRPr="001939C6" w:rsidTr="003D2BBF">
        <w:trPr>
          <w:cantSplit/>
          <w:trHeight w:val="388"/>
        </w:trPr>
        <w:tc>
          <w:tcPr>
            <w:tcW w:w="4286" w:type="dxa"/>
            <w:gridSpan w:val="7"/>
            <w:shd w:val="clear" w:color="auto" w:fill="BDD6EE" w:themeFill="accent1" w:themeFillTint="66"/>
          </w:tcPr>
          <w:p w:rsidR="00AA4361" w:rsidRPr="001939C6" w:rsidRDefault="00AA4361" w:rsidP="001C0924">
            <w:pPr>
              <w:jc w:val="left"/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Kötelező előtanulmány(ok) kódja(i)</w:t>
            </w:r>
            <w:r w:rsidR="007D3E9C" w:rsidRPr="001939C6">
              <w:rPr>
                <w:rFonts w:ascii="IBM Plex Serif" w:hAnsi="IBM Plex Serif"/>
                <w:b/>
                <w:bCs/>
                <w:vertAlign w:val="superscript"/>
              </w:rPr>
              <w:t>1</w:t>
            </w:r>
            <w:r w:rsidRPr="001939C6">
              <w:rPr>
                <w:rFonts w:ascii="IBM Plex Serif" w:hAnsi="IBM Plex Serif"/>
                <w:b/>
                <w:bCs/>
              </w:rPr>
              <w:t xml:space="preserve">: </w:t>
            </w:r>
          </w:p>
        </w:tc>
        <w:tc>
          <w:tcPr>
            <w:tcW w:w="2702" w:type="dxa"/>
            <w:gridSpan w:val="6"/>
            <w:vMerge w:val="restart"/>
            <w:shd w:val="clear" w:color="auto" w:fill="BDD6EE" w:themeFill="accent1" w:themeFillTint="66"/>
          </w:tcPr>
          <w:p w:rsidR="00AA4361" w:rsidRPr="001939C6" w:rsidRDefault="00AA4361" w:rsidP="00202476">
            <w:pPr>
              <w:rPr>
                <w:rFonts w:ascii="IBM Plex Serif" w:hAnsi="IBM Plex Serif"/>
                <w:b/>
              </w:rPr>
            </w:pPr>
            <w:r w:rsidRPr="001939C6">
              <w:rPr>
                <w:rFonts w:ascii="IBM Plex Serif" w:hAnsi="IBM Plex Serif"/>
                <w:b/>
              </w:rPr>
              <w:t xml:space="preserve">Tantárgy típusa (elsődleges tanterven): </w:t>
            </w:r>
          </w:p>
        </w:tc>
        <w:sdt>
          <w:sdtPr>
            <w:rPr>
              <w:rFonts w:ascii="IBM Plex Serif" w:hAnsi="IBM Plex Serif"/>
            </w:rPr>
            <w:id w:val="1512411294"/>
            <w:lock w:val="sdtLocked"/>
            <w:placeholder>
              <w:docPart w:val="2B7B11E6A8054F6DBAF2FD06DEC5C0D3"/>
            </w:placeholder>
            <w:dropDownList>
              <w:listItem w:value="Jelöljön ki egy elemet."/>
              <w:listItem w:displayText="Kötelező" w:value="Kötelező"/>
              <w:listItem w:displayText="Kötelezően választható" w:value="Kötelezően választható"/>
              <w:listItem w:displayText="Szabadon választható " w:value="Szabadon választható "/>
            </w:dropDownList>
          </w:sdtPr>
          <w:sdtEndPr/>
          <w:sdtContent>
            <w:tc>
              <w:tcPr>
                <w:tcW w:w="2636" w:type="dxa"/>
                <w:gridSpan w:val="2"/>
                <w:vMerge w:val="restart"/>
              </w:tcPr>
              <w:p w:rsidR="00AA4361" w:rsidRPr="001939C6" w:rsidRDefault="00007183" w:rsidP="00202476">
                <w:pPr>
                  <w:rPr>
                    <w:rFonts w:ascii="IBM Plex Serif" w:hAnsi="IBM Plex Serif"/>
                  </w:rPr>
                </w:pPr>
                <w:r w:rsidRPr="001939C6">
                  <w:rPr>
                    <w:rFonts w:ascii="IBM Plex Serif" w:hAnsi="IBM Plex Serif"/>
                  </w:rPr>
                  <w:t>Kötelező</w:t>
                </w:r>
              </w:p>
            </w:tc>
          </w:sdtContent>
        </w:sdt>
      </w:tr>
      <w:tr w:rsidR="00AA4361" w:rsidRPr="001939C6" w:rsidTr="003D2BBF">
        <w:trPr>
          <w:cantSplit/>
          <w:trHeight w:val="408"/>
        </w:trPr>
        <w:tc>
          <w:tcPr>
            <w:tcW w:w="4286" w:type="dxa"/>
            <w:gridSpan w:val="7"/>
          </w:tcPr>
          <w:p w:rsidR="00AA4361" w:rsidRPr="001939C6" w:rsidRDefault="00AA4361" w:rsidP="00202476">
            <w:pPr>
              <w:rPr>
                <w:rFonts w:ascii="IBM Plex Serif" w:hAnsi="IBM Plex Serif"/>
                <w:b/>
                <w:bCs/>
              </w:rPr>
            </w:pPr>
          </w:p>
        </w:tc>
        <w:tc>
          <w:tcPr>
            <w:tcW w:w="2702" w:type="dxa"/>
            <w:gridSpan w:val="6"/>
            <w:vMerge/>
            <w:shd w:val="clear" w:color="auto" w:fill="BDD6EE" w:themeFill="accent1" w:themeFillTint="66"/>
          </w:tcPr>
          <w:p w:rsidR="00AA4361" w:rsidRPr="001939C6" w:rsidRDefault="00AA4361" w:rsidP="00202476">
            <w:pPr>
              <w:rPr>
                <w:rFonts w:ascii="IBM Plex Serif" w:hAnsi="IBM Plex Serif"/>
                <w:b/>
              </w:rPr>
            </w:pPr>
          </w:p>
        </w:tc>
        <w:tc>
          <w:tcPr>
            <w:tcW w:w="2636" w:type="dxa"/>
            <w:gridSpan w:val="2"/>
            <w:vMerge/>
          </w:tcPr>
          <w:p w:rsidR="00AA4361" w:rsidRPr="001939C6" w:rsidRDefault="00AA4361" w:rsidP="00202476">
            <w:pPr>
              <w:rPr>
                <w:rFonts w:ascii="IBM Plex Serif" w:hAnsi="IBM Plex Serif"/>
              </w:rPr>
            </w:pPr>
          </w:p>
        </w:tc>
      </w:tr>
      <w:tr w:rsidR="00AA4361" w:rsidRPr="001939C6" w:rsidTr="003D2BBF">
        <w:trPr>
          <w:cantSplit/>
          <w:trHeight w:val="345"/>
        </w:trPr>
        <w:tc>
          <w:tcPr>
            <w:tcW w:w="4694" w:type="dxa"/>
            <w:gridSpan w:val="9"/>
            <w:shd w:val="clear" w:color="auto" w:fill="BDD6EE" w:themeFill="accent1" w:themeFillTint="66"/>
          </w:tcPr>
          <w:p w:rsidR="00AA4361" w:rsidRPr="001939C6" w:rsidRDefault="00AA4361" w:rsidP="007D3E9C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Tantárgyfelelős oktató neve</w:t>
            </w:r>
            <w:r w:rsidR="007D3E9C" w:rsidRPr="001939C6">
              <w:rPr>
                <w:rFonts w:ascii="IBM Plex Serif" w:hAnsi="IBM Plex Serif"/>
                <w:b/>
                <w:bCs/>
                <w:vertAlign w:val="superscript"/>
              </w:rPr>
              <w:t>2</w:t>
            </w:r>
            <w:r w:rsidRPr="001939C6">
              <w:rPr>
                <w:rFonts w:ascii="IBM Plex Serif" w:hAnsi="IBM Plex Serif"/>
                <w:b/>
                <w:bCs/>
              </w:rPr>
              <w:t xml:space="preserve">: </w:t>
            </w:r>
          </w:p>
        </w:tc>
        <w:tc>
          <w:tcPr>
            <w:tcW w:w="4930" w:type="dxa"/>
            <w:gridSpan w:val="6"/>
            <w:shd w:val="clear" w:color="auto" w:fill="BDD6EE" w:themeFill="accent1" w:themeFillTint="66"/>
          </w:tcPr>
          <w:p w:rsidR="00AA4361" w:rsidRPr="001939C6" w:rsidRDefault="00AA4361" w:rsidP="007D3E9C">
            <w:pPr>
              <w:rPr>
                <w:rFonts w:ascii="IBM Plex Serif" w:hAnsi="IBM Plex Serif"/>
              </w:rPr>
            </w:pPr>
            <w:r w:rsidRPr="001939C6">
              <w:rPr>
                <w:rFonts w:ascii="IBM Plex Serif" w:hAnsi="IBM Plex Serif"/>
                <w:b/>
                <w:bCs/>
              </w:rPr>
              <w:t>Tárgyfelelős egység neve</w:t>
            </w:r>
            <w:r w:rsidR="007D3E9C" w:rsidRPr="001939C6">
              <w:rPr>
                <w:rStyle w:val="Lbjegyzet-hivatkozs"/>
                <w:rFonts w:ascii="IBM Plex Serif" w:hAnsi="IBM Plex Serif"/>
                <w:b/>
                <w:bCs/>
              </w:rPr>
              <w:t>3</w:t>
            </w:r>
            <w:r w:rsidRPr="001939C6">
              <w:rPr>
                <w:rFonts w:ascii="IBM Plex Serif" w:hAnsi="IBM Plex Serif"/>
                <w:b/>
                <w:bCs/>
              </w:rPr>
              <w:t>:</w:t>
            </w:r>
          </w:p>
        </w:tc>
      </w:tr>
      <w:tr w:rsidR="00AA4361" w:rsidRPr="001939C6" w:rsidTr="003D2BBF">
        <w:trPr>
          <w:cantSplit/>
          <w:trHeight w:val="345"/>
        </w:trPr>
        <w:tc>
          <w:tcPr>
            <w:tcW w:w="4694" w:type="dxa"/>
            <w:gridSpan w:val="9"/>
          </w:tcPr>
          <w:p w:rsidR="00AA4361" w:rsidRPr="001939C6" w:rsidRDefault="00033770" w:rsidP="00C04760">
            <w:pPr>
              <w:rPr>
                <w:rFonts w:ascii="IBM Plex Serif" w:hAnsi="IBM Plex Serif"/>
                <w:b/>
                <w:bCs/>
              </w:rPr>
            </w:pPr>
            <w:r w:rsidRPr="00033770">
              <w:rPr>
                <w:rFonts w:ascii="IBM Plex Serif" w:hAnsi="IBM Plex Serif"/>
                <w:b/>
                <w:bCs/>
              </w:rPr>
              <w:t>Dr. Domokos Endre Gábor</w:t>
            </w:r>
          </w:p>
        </w:tc>
        <w:tc>
          <w:tcPr>
            <w:tcW w:w="4930" w:type="dxa"/>
            <w:gridSpan w:val="6"/>
            <w:shd w:val="clear" w:color="auto" w:fill="FFFFFF" w:themeFill="background1"/>
          </w:tcPr>
          <w:p w:rsidR="00AA4361" w:rsidRPr="001939C6" w:rsidRDefault="00AB6D25" w:rsidP="00AB6D25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Bio-, Környezet- és Vegyészmérnöki Kutató Fejlesztő Központ, Mérnöki Kar</w:t>
            </w:r>
          </w:p>
        </w:tc>
      </w:tr>
      <w:tr w:rsidR="00AA4361" w:rsidRPr="001939C6" w:rsidTr="003D2BBF">
        <w:trPr>
          <w:cantSplit/>
          <w:trHeight w:val="409"/>
        </w:trPr>
        <w:tc>
          <w:tcPr>
            <w:tcW w:w="2253" w:type="dxa"/>
            <w:gridSpan w:val="2"/>
            <w:shd w:val="clear" w:color="auto" w:fill="BDD6EE" w:themeFill="accent1" w:themeFillTint="66"/>
          </w:tcPr>
          <w:p w:rsidR="00AA4361" w:rsidRPr="001939C6" w:rsidRDefault="00AA4361" w:rsidP="001C0924">
            <w:pPr>
              <w:jc w:val="left"/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Az oktatás féléve:</w:t>
            </w:r>
          </w:p>
        </w:tc>
        <w:tc>
          <w:tcPr>
            <w:tcW w:w="676" w:type="dxa"/>
            <w:shd w:val="clear" w:color="auto" w:fill="BDD6EE" w:themeFill="accent1" w:themeFillTint="66"/>
          </w:tcPr>
          <w:p w:rsidR="00AA4361" w:rsidRPr="001939C6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őszi</w:t>
            </w:r>
          </w:p>
        </w:tc>
        <w:sdt>
          <w:sdtPr>
            <w:rPr>
              <w:rFonts w:ascii="IBM Plex Serif" w:hAnsi="IBM Plex Serif"/>
              <w:b/>
              <w:bCs/>
            </w:rPr>
            <w:id w:val="-1048535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gridSpan w:val="3"/>
              </w:tcPr>
              <w:p w:rsidR="00AA4361" w:rsidRPr="001939C6" w:rsidRDefault="00033770" w:rsidP="00202476">
                <w:pPr>
                  <w:rPr>
                    <w:rFonts w:ascii="IBM Plex Serif" w:hAnsi="IBM Plex Serif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p>
            </w:tc>
          </w:sdtContent>
        </w:sdt>
        <w:tc>
          <w:tcPr>
            <w:tcW w:w="999" w:type="dxa"/>
            <w:gridSpan w:val="2"/>
            <w:shd w:val="clear" w:color="auto" w:fill="BDD6EE" w:themeFill="accent1" w:themeFillTint="66"/>
          </w:tcPr>
          <w:p w:rsidR="00AA4361" w:rsidRPr="001939C6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tavaszi</w:t>
            </w:r>
          </w:p>
        </w:tc>
        <w:sdt>
          <w:sdtPr>
            <w:rPr>
              <w:rFonts w:ascii="IBM Plex Serif" w:hAnsi="IBM Plex Serif"/>
              <w:b/>
              <w:bCs/>
            </w:rPr>
            <w:id w:val="-85079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</w:tcPr>
              <w:p w:rsidR="00AA4361" w:rsidRPr="001939C6" w:rsidRDefault="00C04760" w:rsidP="00202476">
                <w:pPr>
                  <w:rPr>
                    <w:rFonts w:ascii="IBM Plex Serif" w:hAnsi="IBM Plex Serif"/>
                    <w:b/>
                    <w:bCs/>
                  </w:rPr>
                </w:pPr>
                <w:r w:rsidRPr="001939C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528" w:type="dxa"/>
            <w:shd w:val="clear" w:color="auto" w:fill="BDD6EE" w:themeFill="accent1" w:themeFillTint="66"/>
          </w:tcPr>
          <w:p w:rsidR="00AA4361" w:rsidRPr="001939C6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mindkettő</w:t>
            </w:r>
          </w:p>
        </w:tc>
        <w:sdt>
          <w:sdtPr>
            <w:rPr>
              <w:rFonts w:ascii="IBM Plex Serif" w:hAnsi="IBM Plex Serif"/>
              <w:b/>
              <w:bCs/>
            </w:rPr>
            <w:id w:val="-79082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AA4361" w:rsidRPr="001939C6" w:rsidRDefault="00033770" w:rsidP="00202476">
                <w:pPr>
                  <w:rPr>
                    <w:rFonts w:ascii="IBM Plex Serif" w:hAnsi="IBM Plex Serif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shd w:val="clear" w:color="auto" w:fill="BDD6EE" w:themeFill="accent1" w:themeFillTint="66"/>
          </w:tcPr>
          <w:p w:rsidR="00AA4361" w:rsidRPr="001939C6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Kreditértéke:</w:t>
            </w:r>
          </w:p>
        </w:tc>
        <w:tc>
          <w:tcPr>
            <w:tcW w:w="1134" w:type="dxa"/>
          </w:tcPr>
          <w:p w:rsidR="00AA4361" w:rsidRPr="001939C6" w:rsidRDefault="00D35F25" w:rsidP="00202476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6</w:t>
            </w:r>
          </w:p>
        </w:tc>
      </w:tr>
      <w:tr w:rsidR="00105117" w:rsidRPr="001939C6" w:rsidTr="003D2BBF">
        <w:trPr>
          <w:cantSplit/>
          <w:trHeight w:val="41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214FF" w:rsidRPr="001939C6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Óraigény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1939C6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e.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1939C6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szem.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1939C6" w:rsidRDefault="000214FF" w:rsidP="000214FF">
            <w:pPr>
              <w:rPr>
                <w:rFonts w:ascii="IBM Plex Serif" w:hAnsi="IBM Plex Serif"/>
                <w:b/>
                <w:bCs/>
              </w:rPr>
            </w:pPr>
            <w:proofErr w:type="spellStart"/>
            <w:r w:rsidRPr="001939C6">
              <w:rPr>
                <w:rFonts w:ascii="IBM Plex Serif" w:hAnsi="IBM Plex Serif"/>
                <w:b/>
                <w:bCs/>
              </w:rPr>
              <w:t>lab.gyak</w:t>
            </w:r>
            <w:proofErr w:type="spellEnd"/>
            <w:r w:rsidRPr="001939C6">
              <w:rPr>
                <w:rFonts w:ascii="IBM Plex Serif" w:hAnsi="IBM Plex Serif"/>
                <w:b/>
                <w:bCs/>
              </w:rPr>
              <w:t>.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1939C6" w:rsidRDefault="000214FF" w:rsidP="007D3E9C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Számonkérés formája</w:t>
            </w:r>
            <w:r w:rsidR="007D3E9C" w:rsidRPr="001939C6">
              <w:rPr>
                <w:rStyle w:val="Lbjegyzet-hivatkozs"/>
                <w:rFonts w:ascii="IBM Plex Serif" w:hAnsi="IBM Plex Serif"/>
                <w:b/>
                <w:bCs/>
              </w:rPr>
              <w:t>4</w:t>
            </w:r>
            <w:r w:rsidR="005E149E" w:rsidRPr="001939C6">
              <w:rPr>
                <w:rFonts w:ascii="IBM Plex Serif" w:hAnsi="IBM Plex Serif"/>
                <w:b/>
                <w:bCs/>
              </w:rPr>
              <w:t>:</w:t>
            </w:r>
            <w:r w:rsidRPr="001939C6">
              <w:rPr>
                <w:rFonts w:ascii="IBM Plex Serif" w:hAnsi="IBM Plex Serif"/>
                <w:b/>
                <w:bCs/>
              </w:rPr>
              <w:t xml:space="preserve"> </w:t>
            </w:r>
          </w:p>
        </w:tc>
        <w:sdt>
          <w:sdtPr>
            <w:rPr>
              <w:rFonts w:ascii="IBM Plex Serif" w:hAnsi="IBM Plex Serif"/>
              <w:b/>
              <w:bCs/>
              <w:sz w:val="22"/>
              <w:szCs w:val="22"/>
            </w:rPr>
            <w:id w:val="-1870829293"/>
            <w:lock w:val="sdtLocked"/>
            <w:placeholder>
              <w:docPart w:val="CF3850B6BEEE4E6DA1B7C73FE2F585BE"/>
            </w:placeholder>
            <w:dropDownList>
              <w:listItem w:value="Jelöljön ki egy elemet."/>
              <w:listItem w:displayText="Folyamatos számonkérés (F)" w:value="Folyamatos számonkérés (F)"/>
              <w:listItem w:displayText="Félévközi jegy (É)" w:value="Félévközi jegy (É)"/>
              <w:listItem w:displayText="Kollokvium (K)" w:value="Kollokvium (K)"/>
              <w:listItem w:displayText="Vizsga (V)" w:value="Vizsga (V)"/>
              <w:listItem w:displayText="Aláírás megszerzése (A)" w:value="Aláírás megszerzése (A)"/>
            </w:dropDownList>
          </w:sdtPr>
          <w:sdtEndPr/>
          <w:sdtContent>
            <w:tc>
              <w:tcPr>
                <w:tcW w:w="2906" w:type="dxa"/>
                <w:gridSpan w:val="3"/>
                <w:shd w:val="clear" w:color="auto" w:fill="FFFFFF" w:themeFill="background1"/>
              </w:tcPr>
              <w:p w:rsidR="000214FF" w:rsidRPr="001939C6" w:rsidRDefault="00054CFB" w:rsidP="000214FF">
                <w:pPr>
                  <w:rPr>
                    <w:rFonts w:ascii="IBM Plex Serif" w:hAnsi="IBM Plex Serif"/>
                    <w:b/>
                    <w:bCs/>
                    <w:sz w:val="22"/>
                    <w:szCs w:val="22"/>
                  </w:rPr>
                </w:pPr>
                <w:r w:rsidRPr="001939C6">
                  <w:rPr>
                    <w:rFonts w:ascii="IBM Plex Serif" w:hAnsi="IBM Plex Serif"/>
                    <w:b/>
                    <w:bCs/>
                    <w:sz w:val="22"/>
                    <w:szCs w:val="22"/>
                  </w:rPr>
                  <w:t>Folyamatos számonkérés (F)</w:t>
                </w:r>
              </w:p>
            </w:tc>
          </w:sdtContent>
        </w:sdt>
      </w:tr>
      <w:tr w:rsidR="00AA4361" w:rsidRPr="001939C6" w:rsidTr="00600E8F">
        <w:trPr>
          <w:cantSplit/>
          <w:trHeight w:val="556"/>
        </w:trPr>
        <w:tc>
          <w:tcPr>
            <w:tcW w:w="1403" w:type="dxa"/>
            <w:shd w:val="clear" w:color="auto" w:fill="BDD6EE" w:themeFill="accent1" w:themeFillTint="66"/>
          </w:tcPr>
          <w:p w:rsidR="000214FF" w:rsidRPr="001939C6" w:rsidRDefault="000214FF" w:rsidP="007D3E9C">
            <w:pPr>
              <w:rPr>
                <w:rFonts w:ascii="IBM Plex Serif" w:hAnsi="IBM Plex Serif"/>
              </w:rPr>
            </w:pPr>
            <w:r w:rsidRPr="001939C6">
              <w:rPr>
                <w:rFonts w:ascii="IBM Plex Serif" w:hAnsi="IBM Plex Serif"/>
              </w:rPr>
              <w:t>Nappali (óra/hét)</w:t>
            </w:r>
            <w:r w:rsidR="007D3E9C" w:rsidRPr="001939C6">
              <w:rPr>
                <w:rStyle w:val="Lbjegyzet-hivatkozs"/>
                <w:rFonts w:ascii="IBM Plex Serif" w:hAnsi="IBM Plex Serif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214FF" w:rsidRPr="001939C6" w:rsidRDefault="000214FF" w:rsidP="000214FF">
            <w:pPr>
              <w:rPr>
                <w:rFonts w:ascii="IBM Plex Serif" w:hAnsi="IBM Plex Serif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:rsidR="000214FF" w:rsidRPr="001939C6" w:rsidRDefault="000214FF" w:rsidP="000214FF">
            <w:pPr>
              <w:rPr>
                <w:rFonts w:ascii="IBM Plex Serif" w:hAnsi="IBM Plex Serif"/>
              </w:rPr>
            </w:pPr>
          </w:p>
        </w:tc>
        <w:tc>
          <w:tcPr>
            <w:tcW w:w="1272" w:type="dxa"/>
            <w:gridSpan w:val="4"/>
          </w:tcPr>
          <w:p w:rsidR="000214FF" w:rsidRPr="001939C6" w:rsidRDefault="000214FF" w:rsidP="000214FF">
            <w:pPr>
              <w:rPr>
                <w:rFonts w:ascii="IBM Plex Serif" w:hAnsi="IBM Plex Serif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1939C6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Értékelés típusa:</w:t>
            </w:r>
          </w:p>
        </w:tc>
        <w:sdt>
          <w:sdtPr>
            <w:rPr>
              <w:rFonts w:ascii="IBM Plex Serif" w:hAnsi="IBM Plex Serif"/>
            </w:rPr>
            <w:id w:val="495083543"/>
            <w:lock w:val="sdtLocked"/>
            <w:placeholder>
              <w:docPart w:val="7364E883334A480FB8A1102BCA9FC444"/>
            </w:placeholder>
            <w:dropDownList>
              <w:listItem w:value="Jelöljön ki egy elemet."/>
              <w:listItem w:displayText="ötfokozatú" w:value="ötfokozatú"/>
              <w:listItem w:displayText="háromfokozatú" w:value="háromfokozatú"/>
              <w:listItem w:displayText="kétfokozatú" w:value="kétfokozatú"/>
            </w:dropDownList>
          </w:sdtPr>
          <w:sdtEndPr/>
          <w:sdtContent>
            <w:tc>
              <w:tcPr>
                <w:tcW w:w="2906" w:type="dxa"/>
                <w:gridSpan w:val="3"/>
              </w:tcPr>
              <w:p w:rsidR="000214FF" w:rsidRPr="001939C6" w:rsidRDefault="00833E86" w:rsidP="000214FF">
                <w:pPr>
                  <w:rPr>
                    <w:rFonts w:ascii="IBM Plex Serif" w:hAnsi="IBM Plex Serif"/>
                  </w:rPr>
                </w:pPr>
                <w:r w:rsidRPr="001939C6">
                  <w:rPr>
                    <w:rFonts w:ascii="IBM Plex Serif" w:hAnsi="IBM Plex Serif"/>
                  </w:rPr>
                  <w:t>ötfokozatú</w:t>
                </w:r>
              </w:p>
            </w:tc>
          </w:sdtContent>
        </w:sdt>
      </w:tr>
      <w:tr w:rsidR="00AA4361" w:rsidRPr="001939C6" w:rsidTr="00600E8F">
        <w:trPr>
          <w:cantSplit/>
          <w:trHeight w:val="693"/>
        </w:trPr>
        <w:tc>
          <w:tcPr>
            <w:tcW w:w="1403" w:type="dxa"/>
            <w:shd w:val="clear" w:color="auto" w:fill="BDD6EE" w:themeFill="accent1" w:themeFillTint="66"/>
          </w:tcPr>
          <w:p w:rsidR="000214FF" w:rsidRPr="001939C6" w:rsidRDefault="000214FF" w:rsidP="007D3E9C">
            <w:pPr>
              <w:rPr>
                <w:rFonts w:ascii="IBM Plex Serif" w:hAnsi="IBM Plex Serif"/>
              </w:rPr>
            </w:pPr>
            <w:r w:rsidRPr="001939C6">
              <w:rPr>
                <w:rFonts w:ascii="IBM Plex Serif" w:hAnsi="IBM Plex Serif"/>
              </w:rPr>
              <w:t>Levelező (óra/félév)</w:t>
            </w:r>
            <w:r w:rsidR="007D3E9C" w:rsidRPr="001939C6">
              <w:rPr>
                <w:rStyle w:val="Lbjegyzet-hivatkozs"/>
                <w:rFonts w:ascii="IBM Plex Serif" w:hAnsi="IBM Plex Serif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214FF" w:rsidRPr="001939C6" w:rsidRDefault="00D35F25" w:rsidP="000214FF">
            <w:pPr>
              <w:rPr>
                <w:rFonts w:ascii="IBM Plex Serif" w:hAnsi="IBM Plex Serif"/>
              </w:rPr>
            </w:pPr>
            <w:r w:rsidRPr="001939C6">
              <w:rPr>
                <w:rFonts w:ascii="IBM Plex Serif" w:hAnsi="IBM Plex Serif"/>
              </w:rPr>
              <w:t>10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0214FF" w:rsidRPr="001939C6" w:rsidRDefault="00017D93" w:rsidP="000214FF">
            <w:pPr>
              <w:rPr>
                <w:rFonts w:ascii="IBM Plex Serif" w:hAnsi="IBM Plex Serif"/>
              </w:rPr>
            </w:pPr>
            <w:r>
              <w:rPr>
                <w:rFonts w:ascii="IBM Plex Serif" w:hAnsi="IBM Plex Serif"/>
              </w:rPr>
              <w:t>5</w:t>
            </w:r>
          </w:p>
        </w:tc>
        <w:tc>
          <w:tcPr>
            <w:tcW w:w="1272" w:type="dxa"/>
            <w:gridSpan w:val="4"/>
          </w:tcPr>
          <w:p w:rsidR="000214FF" w:rsidRPr="001939C6" w:rsidRDefault="00017D93" w:rsidP="000214FF">
            <w:pPr>
              <w:rPr>
                <w:rFonts w:ascii="IBM Plex Serif" w:hAnsi="IBM Plex Serif"/>
              </w:rPr>
            </w:pPr>
            <w:r>
              <w:rPr>
                <w:rFonts w:ascii="IBM Plex Serif" w:hAnsi="IBM Plex Serif"/>
              </w:rPr>
              <w:t>5</w:t>
            </w:r>
            <w:bookmarkStart w:id="0" w:name="_GoBack"/>
            <w:bookmarkEnd w:id="0"/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214FF" w:rsidRPr="001939C6" w:rsidRDefault="000214FF" w:rsidP="007D3E9C">
            <w:pPr>
              <w:jc w:val="left"/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A meghirdetés mintatantervei</w:t>
            </w:r>
            <w:r w:rsidR="007D3E9C" w:rsidRPr="001939C6">
              <w:rPr>
                <w:rStyle w:val="Lbjegyzet-hivatkozs"/>
                <w:rFonts w:ascii="IBM Plex Serif" w:hAnsi="IBM Plex Serif"/>
                <w:b/>
                <w:bCs/>
              </w:rPr>
              <w:t>7</w:t>
            </w:r>
            <w:r w:rsidRPr="001939C6">
              <w:rPr>
                <w:rFonts w:ascii="IBM Plex Serif" w:hAnsi="IBM Plex Serif"/>
                <w:b/>
                <w:bCs/>
              </w:rPr>
              <w:t>:</w:t>
            </w:r>
          </w:p>
        </w:tc>
        <w:tc>
          <w:tcPr>
            <w:tcW w:w="2906" w:type="dxa"/>
            <w:gridSpan w:val="3"/>
          </w:tcPr>
          <w:p w:rsidR="000214FF" w:rsidRPr="001939C6" w:rsidRDefault="00033770" w:rsidP="000214FF">
            <w:pPr>
              <w:rPr>
                <w:rFonts w:ascii="IBM Plex Serif" w:hAnsi="IBM Plex Serif"/>
              </w:rPr>
            </w:pPr>
            <w:r>
              <w:rPr>
                <w:rFonts w:ascii="IBM Plex Serif" w:hAnsi="IBM Plex Serif"/>
              </w:rPr>
              <w:t>Körforgásos hulladékgazdálkodási szakember / szakmérnök képzés</w:t>
            </w:r>
          </w:p>
        </w:tc>
      </w:tr>
      <w:tr w:rsidR="000214FF" w:rsidRPr="001939C6" w:rsidTr="003D2BBF">
        <w:trPr>
          <w:cantSplit/>
        </w:trPr>
        <w:tc>
          <w:tcPr>
            <w:tcW w:w="9624" w:type="dxa"/>
            <w:gridSpan w:val="15"/>
            <w:shd w:val="clear" w:color="auto" w:fill="BDD6EE" w:themeFill="accent1" w:themeFillTint="66"/>
          </w:tcPr>
          <w:p w:rsidR="000214FF" w:rsidRPr="001939C6" w:rsidRDefault="000214FF" w:rsidP="000214FF">
            <w:pPr>
              <w:jc w:val="center"/>
              <w:rPr>
                <w:rFonts w:ascii="IBM Plex Serif" w:hAnsi="IBM Plex Serif"/>
                <w:b/>
              </w:rPr>
            </w:pPr>
            <w:r w:rsidRPr="001939C6">
              <w:rPr>
                <w:rFonts w:ascii="IBM Plex Serif" w:hAnsi="IBM Plex Serif"/>
                <w:b/>
                <w:bCs/>
              </w:rPr>
              <w:t>Oktatási cél és a</w:t>
            </w:r>
            <w:r w:rsidRPr="001939C6">
              <w:rPr>
                <w:rFonts w:ascii="IBM Plex Serif" w:hAnsi="IBM Plex Serif"/>
                <w:b/>
              </w:rPr>
              <w:t>z előírt szakmai kompetenciáknak, kompetencia-elemeknek a felsorolása, amelyek kialakításához a tantárgy jellemzően, érdemben hozzájárul (tudás, képesség, attitűd, autonómiája és felelőssége)</w:t>
            </w:r>
            <w:r w:rsidR="00087B74" w:rsidRPr="001939C6">
              <w:rPr>
                <w:rFonts w:ascii="IBM Plex Serif" w:hAnsi="IBM Plex Serif"/>
                <w:b/>
                <w:vertAlign w:val="superscript"/>
              </w:rPr>
              <w:t>8</w:t>
            </w:r>
            <w:r w:rsidR="00AA4361" w:rsidRPr="001939C6">
              <w:rPr>
                <w:rFonts w:ascii="IBM Plex Serif" w:hAnsi="IBM Plex Serif"/>
                <w:b/>
              </w:rPr>
              <w:t>:</w:t>
            </w:r>
          </w:p>
        </w:tc>
      </w:tr>
      <w:tr w:rsidR="00105117" w:rsidRPr="001939C6" w:rsidTr="003D2BBF">
        <w:trPr>
          <w:cantSplit/>
        </w:trPr>
        <w:tc>
          <w:tcPr>
            <w:tcW w:w="1403" w:type="dxa"/>
          </w:tcPr>
          <w:p w:rsidR="00105117" w:rsidRPr="001939C6" w:rsidRDefault="00105117" w:rsidP="005409BC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magyarul</w:t>
            </w:r>
          </w:p>
        </w:tc>
        <w:tc>
          <w:tcPr>
            <w:tcW w:w="8221" w:type="dxa"/>
            <w:gridSpan w:val="14"/>
          </w:tcPr>
          <w:p w:rsidR="00033770" w:rsidRPr="00033770" w:rsidRDefault="00033770" w:rsidP="00324AD6">
            <w:pPr>
              <w:ind w:left="359" w:hanging="359"/>
              <w:rPr>
                <w:rFonts w:ascii="IBM Plex Serif" w:hAnsi="IBM Plex Serif"/>
                <w:bCs/>
              </w:rPr>
            </w:pPr>
            <w:r w:rsidRPr="00033770">
              <w:rPr>
                <w:rFonts w:ascii="IBM Plex Serif" w:hAnsi="IBM Plex Serif"/>
                <w:bCs/>
              </w:rPr>
              <w:t xml:space="preserve">T1 </w:t>
            </w:r>
            <w:r>
              <w:rPr>
                <w:rFonts w:ascii="IBM Plex Serif" w:hAnsi="IBM Plex Serif"/>
                <w:bCs/>
              </w:rPr>
              <w:t>J</w:t>
            </w:r>
            <w:r w:rsidRPr="00033770">
              <w:rPr>
                <w:rFonts w:ascii="IBM Plex Serif" w:hAnsi="IBM Plex Serif"/>
                <w:bCs/>
              </w:rPr>
              <w:t>ól megalapozott ismeretekkel rendelkezik a hulladékgazdálkodás mérnöki szakterületéhez kapcsolódó jogi, közgazdasági, közigazgatási, biztonságtechnikai, munka- és tűzvédelmi, környezetvédelmi és informatikai szakterületekről, valamint átlátja azok összefüggéseit és a kapcsolódó stratégiákat;</w:t>
            </w:r>
          </w:p>
          <w:p w:rsidR="00033770" w:rsidRPr="00033770" w:rsidRDefault="00033770" w:rsidP="00324AD6">
            <w:pPr>
              <w:ind w:left="359" w:hanging="359"/>
              <w:rPr>
                <w:rFonts w:ascii="IBM Plex Serif" w:hAnsi="IBM Plex Serif"/>
                <w:bCs/>
              </w:rPr>
            </w:pPr>
            <w:r w:rsidRPr="00033770">
              <w:rPr>
                <w:rFonts w:ascii="IBM Plex Serif" w:hAnsi="IBM Plex Serif"/>
                <w:bCs/>
              </w:rPr>
              <w:t xml:space="preserve">T4 </w:t>
            </w:r>
            <w:r>
              <w:rPr>
                <w:rFonts w:ascii="IBM Plex Serif" w:hAnsi="IBM Plex Serif"/>
                <w:bCs/>
              </w:rPr>
              <w:t>I</w:t>
            </w:r>
            <w:r w:rsidRPr="00033770">
              <w:rPr>
                <w:rFonts w:ascii="IBM Plex Serif" w:hAnsi="IBM Plex Serif"/>
                <w:bCs/>
              </w:rPr>
              <w:t xml:space="preserve">smeri a hulladékgazdálkodási létesítmények (veszélyes és kommunális hulladéklerakó, hulladékégetőmű, mechanikai-biológiai hulladékkezelő mű, biogáz üzem, pirolízis üzem) üzemvitelét, műtárgyait, valamint azok fejlesztésének </w:t>
            </w:r>
            <w:proofErr w:type="gramStart"/>
            <w:r w:rsidRPr="00033770">
              <w:rPr>
                <w:rFonts w:ascii="IBM Plex Serif" w:hAnsi="IBM Plex Serif"/>
                <w:bCs/>
              </w:rPr>
              <w:t>lehetőségeit;.</w:t>
            </w:r>
            <w:proofErr w:type="gramEnd"/>
          </w:p>
          <w:p w:rsidR="00033770" w:rsidRDefault="00033770" w:rsidP="00324AD6">
            <w:pPr>
              <w:ind w:left="359" w:hanging="359"/>
              <w:rPr>
                <w:rFonts w:ascii="IBM Plex Serif" w:hAnsi="IBM Plex Serif"/>
                <w:bCs/>
              </w:rPr>
            </w:pPr>
            <w:r w:rsidRPr="00033770">
              <w:rPr>
                <w:rFonts w:ascii="IBM Plex Serif" w:hAnsi="IBM Plex Serif"/>
                <w:bCs/>
              </w:rPr>
              <w:t xml:space="preserve">T5 </w:t>
            </w:r>
            <w:r>
              <w:rPr>
                <w:rFonts w:ascii="IBM Plex Serif" w:hAnsi="IBM Plex Serif"/>
                <w:bCs/>
              </w:rPr>
              <w:t>I</w:t>
            </w:r>
            <w:r w:rsidRPr="00033770">
              <w:rPr>
                <w:rFonts w:ascii="IBM Plex Serif" w:hAnsi="IBM Plex Serif"/>
                <w:bCs/>
              </w:rPr>
              <w:t xml:space="preserve">smeri a hulladékgazdálkodási tevékenységhez kapcsolódó társadalmi-gazdasági környezetet, a </w:t>
            </w:r>
            <w:proofErr w:type="spellStart"/>
            <w:r w:rsidRPr="00033770">
              <w:rPr>
                <w:rFonts w:ascii="IBM Plex Serif" w:hAnsi="IBM Plex Serif"/>
                <w:bCs/>
              </w:rPr>
              <w:t>különgyűjtési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033770">
              <w:rPr>
                <w:rFonts w:ascii="IBM Plex Serif" w:hAnsi="IBM Plex Serif"/>
                <w:bCs/>
              </w:rPr>
              <w:t>újrahasználati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033770">
              <w:rPr>
                <w:rFonts w:ascii="IBM Plex Serif" w:hAnsi="IBM Plex Serif"/>
                <w:bCs/>
              </w:rPr>
              <w:t>újrahasznosítási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hajlandóságot növelő, népszerűsítő és szemléletformáló módszereket;</w:t>
            </w:r>
          </w:p>
          <w:p w:rsidR="00033770" w:rsidRPr="00033770" w:rsidRDefault="00033770" w:rsidP="00324AD6">
            <w:pPr>
              <w:ind w:left="359" w:hanging="359"/>
              <w:rPr>
                <w:rFonts w:ascii="IBM Plex Serif" w:hAnsi="IBM Plex Serif"/>
                <w:bCs/>
              </w:rPr>
            </w:pPr>
            <w:r w:rsidRPr="00033770">
              <w:rPr>
                <w:rFonts w:ascii="IBM Plex Serif" w:hAnsi="IBM Plex Serif"/>
                <w:bCs/>
              </w:rPr>
              <w:t>T</w:t>
            </w:r>
            <w:r>
              <w:rPr>
                <w:rFonts w:ascii="IBM Plex Serif" w:hAnsi="IBM Plex Serif"/>
                <w:bCs/>
              </w:rPr>
              <w:t>6</w:t>
            </w:r>
            <w:r w:rsidRPr="00033770">
              <w:rPr>
                <w:rFonts w:ascii="IBM Plex Serif" w:hAnsi="IBM Plex Serif"/>
                <w:bCs/>
              </w:rPr>
              <w:t xml:space="preserve"> </w:t>
            </w:r>
            <w:r>
              <w:rPr>
                <w:rFonts w:ascii="IBM Plex Serif" w:hAnsi="IBM Plex Serif"/>
                <w:bCs/>
              </w:rPr>
              <w:t>I</w:t>
            </w:r>
            <w:r w:rsidRPr="00033770">
              <w:rPr>
                <w:rFonts w:ascii="IBM Plex Serif" w:hAnsi="IBM Plex Serif"/>
                <w:bCs/>
              </w:rPr>
              <w:t>smeri és alkalmazza a hulladékgazdálkodási jegyzőkönyvek és a műszaki dokumentáció készítésének szabályait;</w:t>
            </w:r>
          </w:p>
          <w:p w:rsidR="00033770" w:rsidRPr="00033770" w:rsidRDefault="00033770" w:rsidP="00324AD6">
            <w:pPr>
              <w:ind w:left="359" w:hanging="359"/>
              <w:rPr>
                <w:rFonts w:ascii="IBM Plex Serif" w:hAnsi="IBM Plex Serif"/>
                <w:bCs/>
              </w:rPr>
            </w:pPr>
            <w:r w:rsidRPr="00033770">
              <w:rPr>
                <w:rFonts w:ascii="IBM Plex Serif" w:hAnsi="IBM Plex Serif"/>
                <w:bCs/>
              </w:rPr>
              <w:t xml:space="preserve">K1 </w:t>
            </w:r>
            <w:r>
              <w:rPr>
                <w:rFonts w:ascii="IBM Plex Serif" w:hAnsi="IBM Plex Serif"/>
                <w:bCs/>
              </w:rPr>
              <w:t>K</w:t>
            </w:r>
            <w:r w:rsidRPr="00033770">
              <w:rPr>
                <w:rFonts w:ascii="IBM Plex Serif" w:hAnsi="IBM Plex Serif"/>
                <w:bCs/>
              </w:rPr>
              <w:t>épes a hulladékgazdálkodási szakterületeken belül felmerülő problémák megoldásában az általános és specifikus ismeretek alkalmazására, rendszerbe foglalására, a gyűjtött információk, statisztikai adatok feldolgozására, rendszerezésére és elemzésére, majd ezek alapján következtetéseket levonására, intézkedések meghatározására és önálló mérnöki feladatok megoldására;</w:t>
            </w:r>
          </w:p>
          <w:p w:rsidR="00033770" w:rsidRPr="00033770" w:rsidRDefault="00033770" w:rsidP="00324AD6">
            <w:pPr>
              <w:ind w:left="359" w:hanging="359"/>
              <w:rPr>
                <w:rFonts w:ascii="IBM Plex Serif" w:hAnsi="IBM Plex Serif"/>
                <w:bCs/>
              </w:rPr>
            </w:pPr>
            <w:r w:rsidRPr="00033770">
              <w:rPr>
                <w:rFonts w:ascii="IBM Plex Serif" w:hAnsi="IBM Plex Serif"/>
                <w:bCs/>
              </w:rPr>
              <w:t xml:space="preserve">K8 </w:t>
            </w:r>
            <w:r>
              <w:rPr>
                <w:bCs/>
              </w:rPr>
              <w:t>Képes a hulladékgazdálkodási feladatokhoz kapcsolódó műszaki, környezetvédelmi, gazdasági, társadalmi, hazai és EU jogi szakterületek ismereteinek és tevékenységinek áttekintésére;</w:t>
            </w:r>
          </w:p>
          <w:p w:rsidR="00033770" w:rsidRDefault="00033770" w:rsidP="00324AD6">
            <w:pPr>
              <w:ind w:left="359" w:hanging="359"/>
              <w:rPr>
                <w:rFonts w:ascii="IBM Plex Serif" w:hAnsi="IBM Plex Serif"/>
                <w:bCs/>
              </w:rPr>
            </w:pPr>
            <w:r>
              <w:rPr>
                <w:rFonts w:ascii="IBM Plex Serif" w:hAnsi="IBM Plex Serif"/>
                <w:bCs/>
              </w:rPr>
              <w:t>A2</w:t>
            </w:r>
            <w:r w:rsidRPr="00033770">
              <w:rPr>
                <w:rFonts w:ascii="IBM Plex Serif" w:hAnsi="IBM Plex Serif"/>
                <w:bCs/>
              </w:rPr>
              <w:t xml:space="preserve"> </w:t>
            </w:r>
            <w:r>
              <w:rPr>
                <w:rFonts w:ascii="IBM Plex Serif" w:hAnsi="IBM Plex Serif"/>
                <w:bCs/>
              </w:rPr>
              <w:t>N</w:t>
            </w:r>
            <w:r w:rsidRPr="00033770">
              <w:rPr>
                <w:rFonts w:ascii="IBM Plex Serif" w:hAnsi="IBM Plex Serif"/>
                <w:bCs/>
              </w:rPr>
              <w:t>yitott és érzékeny a környezettel és a környezeti erőforrásokkal kapcsolatban felmerülő problémákra és a fenntarthatósági kérdésekre;</w:t>
            </w:r>
          </w:p>
          <w:p w:rsidR="00105117" w:rsidRPr="001939C6" w:rsidRDefault="00033770" w:rsidP="00324AD6">
            <w:pPr>
              <w:ind w:left="359" w:hanging="359"/>
              <w:rPr>
                <w:rFonts w:ascii="IBM Plex Serif" w:hAnsi="IBM Plex Serif"/>
                <w:b/>
                <w:bCs/>
              </w:rPr>
            </w:pPr>
            <w:r w:rsidRPr="00033770">
              <w:rPr>
                <w:rFonts w:ascii="IBM Plex Serif" w:hAnsi="IBM Plex Serif"/>
                <w:bCs/>
              </w:rPr>
              <w:t>A</w:t>
            </w:r>
            <w:r>
              <w:rPr>
                <w:rFonts w:ascii="IBM Plex Serif" w:hAnsi="IBM Plex Serif"/>
                <w:bCs/>
              </w:rPr>
              <w:t>7</w:t>
            </w:r>
            <w:r w:rsidRPr="00033770">
              <w:rPr>
                <w:rFonts w:ascii="IBM Plex Serif" w:hAnsi="IBM Plex Serif"/>
                <w:bCs/>
              </w:rPr>
              <w:t xml:space="preserve"> </w:t>
            </w:r>
            <w:r>
              <w:rPr>
                <w:rFonts w:ascii="IBM Plex Serif" w:hAnsi="IBM Plex Serif"/>
                <w:bCs/>
              </w:rPr>
              <w:t>E</w:t>
            </w:r>
            <w:r w:rsidRPr="00033770">
              <w:rPr>
                <w:rFonts w:ascii="IBM Plex Serif" w:hAnsi="IBM Plex Serif"/>
                <w:bCs/>
              </w:rPr>
              <w:t>gyüttműködik más szakterületek képviselőivel;</w:t>
            </w:r>
          </w:p>
        </w:tc>
      </w:tr>
      <w:tr w:rsidR="00105117" w:rsidRPr="001939C6" w:rsidTr="003D2BBF">
        <w:trPr>
          <w:cantSplit/>
        </w:trPr>
        <w:tc>
          <w:tcPr>
            <w:tcW w:w="1403" w:type="dxa"/>
          </w:tcPr>
          <w:p w:rsidR="00105117" w:rsidRPr="001939C6" w:rsidRDefault="00105117" w:rsidP="005409BC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lastRenderedPageBreak/>
              <w:t>angolul</w:t>
            </w:r>
          </w:p>
        </w:tc>
        <w:tc>
          <w:tcPr>
            <w:tcW w:w="8221" w:type="dxa"/>
            <w:gridSpan w:val="14"/>
          </w:tcPr>
          <w:p w:rsidR="00105117" w:rsidRDefault="00E47D09" w:rsidP="00324AD6">
            <w:pPr>
              <w:ind w:left="359" w:hanging="283"/>
              <w:rPr>
                <w:rFonts w:ascii="IBM Plex Serif" w:hAnsi="IBM Plex Serif"/>
                <w:bCs/>
              </w:rPr>
            </w:pPr>
            <w:r w:rsidRPr="00033770">
              <w:rPr>
                <w:rFonts w:ascii="IBM Plex Serif" w:hAnsi="IBM Plex Serif"/>
                <w:bCs/>
              </w:rPr>
              <w:t>T1</w:t>
            </w:r>
            <w:r w:rsid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knows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understands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the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theoretical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practical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knowledge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the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legal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economic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administrative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safety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occupational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fire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protection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environmental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</w:t>
            </w:r>
            <w:proofErr w:type="gramStart"/>
            <w:r w:rsidR="00324AD6" w:rsidRPr="00324AD6">
              <w:rPr>
                <w:rFonts w:ascii="IBM Plex Serif" w:hAnsi="IBM Plex Serif"/>
                <w:bCs/>
              </w:rPr>
              <w:t>and IT</w:t>
            </w:r>
            <w:proofErr w:type="gram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fields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related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to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the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engineering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discipline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waste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management,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understands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their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interconnections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the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related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strategies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>;</w:t>
            </w:r>
          </w:p>
          <w:p w:rsidR="00324AD6" w:rsidRDefault="00E47D09" w:rsidP="00324AD6">
            <w:pPr>
              <w:ind w:left="359" w:hanging="283"/>
              <w:rPr>
                <w:rFonts w:ascii="IBM Plex Serif" w:hAnsi="IBM Plex Serif"/>
                <w:bCs/>
              </w:rPr>
            </w:pPr>
            <w:r w:rsidRPr="00033770">
              <w:rPr>
                <w:rFonts w:ascii="IBM Plex Serif" w:hAnsi="IBM Plex Serif"/>
                <w:bCs/>
              </w:rPr>
              <w:t>T4</w:t>
            </w:r>
            <w:r w:rsidR="00324AD6">
              <w:t xml:space="preserve"> </w:t>
            </w:r>
            <w:r w:rsidR="00324AD6" w:rsidRPr="00324AD6">
              <w:rPr>
                <w:rFonts w:ascii="IBM Plex Serif" w:hAnsi="IBM Plex Serif"/>
                <w:bCs/>
              </w:rPr>
              <w:t xml:space="preserve">is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familiar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with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the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operation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structures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waste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management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facilities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(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hazardous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municipal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waste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landfills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waste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incineration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plants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mechanical-biological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waste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treatment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plants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biogas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plants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pyrolysis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plants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)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the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possibilities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for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their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development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>;</w:t>
            </w:r>
          </w:p>
          <w:p w:rsidR="00324AD6" w:rsidRDefault="00E47D09" w:rsidP="00324AD6">
            <w:pPr>
              <w:ind w:left="359" w:hanging="283"/>
              <w:rPr>
                <w:rFonts w:ascii="IBM Plex Serif" w:hAnsi="IBM Plex Serif"/>
                <w:bCs/>
              </w:rPr>
            </w:pPr>
            <w:r w:rsidRPr="00033770">
              <w:rPr>
                <w:rFonts w:ascii="IBM Plex Serif" w:hAnsi="IBM Plex Serif"/>
                <w:bCs/>
              </w:rPr>
              <w:t>T5</w:t>
            </w:r>
            <w:r w:rsidR="00324AD6"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understands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the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socio-economic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environment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related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to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waste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management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activities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the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methods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to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increase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promote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shape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attitudes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toward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separate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collection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reuse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recycling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>;</w:t>
            </w:r>
          </w:p>
          <w:p w:rsidR="00E47D09" w:rsidRDefault="00E47D09" w:rsidP="00324AD6">
            <w:pPr>
              <w:ind w:left="359" w:hanging="283"/>
              <w:rPr>
                <w:rFonts w:ascii="IBM Plex Serif" w:hAnsi="IBM Plex Serif"/>
                <w:bCs/>
              </w:rPr>
            </w:pPr>
            <w:r w:rsidRPr="00033770">
              <w:rPr>
                <w:rFonts w:ascii="IBM Plex Serif" w:hAnsi="IBM Plex Serif"/>
                <w:bCs/>
              </w:rPr>
              <w:t>T</w:t>
            </w:r>
            <w:r>
              <w:rPr>
                <w:rFonts w:ascii="IBM Plex Serif" w:hAnsi="IBM Plex Serif"/>
                <w:bCs/>
              </w:rPr>
              <w:t>6</w:t>
            </w:r>
            <w:r w:rsid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Knows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applies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the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rules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for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preparing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waste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management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protocols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technical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documentation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>;</w:t>
            </w:r>
          </w:p>
          <w:p w:rsidR="00E47D09" w:rsidRDefault="00E47D09" w:rsidP="00324AD6">
            <w:pPr>
              <w:ind w:left="359" w:hanging="283"/>
              <w:rPr>
                <w:rFonts w:ascii="IBM Plex Serif" w:hAnsi="IBM Plex Serif"/>
                <w:bCs/>
              </w:rPr>
            </w:pPr>
            <w:r w:rsidRPr="00033770">
              <w:rPr>
                <w:rFonts w:ascii="IBM Plex Serif" w:hAnsi="IBM Plex Serif"/>
                <w:bCs/>
              </w:rPr>
              <w:t>K1</w:t>
            </w:r>
            <w:r w:rsidR="00324AD6">
              <w:t xml:space="preserve"> </w:t>
            </w:r>
            <w:proofErr w:type="spellStart"/>
            <w:r w:rsidR="00324AD6">
              <w:t>C</w:t>
            </w:r>
            <w:r w:rsidR="00324AD6" w:rsidRPr="00324AD6">
              <w:rPr>
                <w:rFonts w:ascii="IBM Plex Serif" w:hAnsi="IBM Plex Serif"/>
                <w:bCs/>
              </w:rPr>
              <w:t>apable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applying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integrating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general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specific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knowledge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in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solving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problems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within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the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field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waste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management,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processing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organizing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analyzing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collected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information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statistical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data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drawing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conclusions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determining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actions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solving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independent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engineering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tasks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>;</w:t>
            </w:r>
          </w:p>
          <w:p w:rsidR="00E47D09" w:rsidRDefault="00E47D09" w:rsidP="00324AD6">
            <w:pPr>
              <w:ind w:left="359" w:hanging="283"/>
              <w:rPr>
                <w:rFonts w:ascii="IBM Plex Serif" w:hAnsi="IBM Plex Serif"/>
                <w:bCs/>
              </w:rPr>
            </w:pPr>
            <w:r w:rsidRPr="00033770">
              <w:rPr>
                <w:rFonts w:ascii="IBM Plex Serif" w:hAnsi="IBM Plex Serif"/>
                <w:bCs/>
              </w:rPr>
              <w:t>K8</w:t>
            </w:r>
            <w:r w:rsid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>
              <w:rPr>
                <w:rFonts w:ascii="IBM Plex Serif" w:hAnsi="IBM Plex Serif"/>
                <w:bCs/>
              </w:rPr>
              <w:t>C</w:t>
            </w:r>
            <w:r w:rsidR="00324AD6" w:rsidRPr="00324AD6">
              <w:rPr>
                <w:rFonts w:ascii="IBM Plex Serif" w:hAnsi="IBM Plex Serif"/>
                <w:bCs/>
              </w:rPr>
              <w:t>apable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reviewing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the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technical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environmental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economic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social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national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and EU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legal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knowledge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activities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related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to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waste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management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tasks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>;</w:t>
            </w:r>
          </w:p>
          <w:p w:rsidR="00E47D09" w:rsidRDefault="00E47D09" w:rsidP="00324AD6">
            <w:pPr>
              <w:ind w:left="359" w:hanging="283"/>
              <w:rPr>
                <w:rFonts w:ascii="IBM Plex Serif" w:hAnsi="IBM Plex Serif"/>
                <w:bCs/>
              </w:rPr>
            </w:pPr>
            <w:r>
              <w:rPr>
                <w:rFonts w:ascii="IBM Plex Serif" w:hAnsi="IBM Plex Serif"/>
                <w:bCs/>
              </w:rPr>
              <w:t>A2</w:t>
            </w:r>
            <w:r w:rsid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open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sensitive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to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problems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related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to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the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environment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environmental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resources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, and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to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sustainability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issues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>;</w:t>
            </w:r>
          </w:p>
          <w:p w:rsidR="00E47D09" w:rsidRPr="001939C6" w:rsidRDefault="00E47D09" w:rsidP="00324AD6">
            <w:pPr>
              <w:ind w:left="359" w:hanging="283"/>
              <w:rPr>
                <w:rFonts w:ascii="IBM Plex Serif" w:hAnsi="IBM Plex Serif"/>
              </w:rPr>
            </w:pPr>
            <w:r w:rsidRPr="00033770">
              <w:rPr>
                <w:rFonts w:ascii="IBM Plex Serif" w:hAnsi="IBM Plex Serif"/>
                <w:bCs/>
              </w:rPr>
              <w:t>A</w:t>
            </w:r>
            <w:r>
              <w:rPr>
                <w:rFonts w:ascii="IBM Plex Serif" w:hAnsi="IBM Plex Serif"/>
                <w:bCs/>
              </w:rPr>
              <w:t>7</w:t>
            </w:r>
            <w:r w:rsidR="00324AD6"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collaborates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with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representatives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other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324AD6" w:rsidRPr="00324AD6">
              <w:rPr>
                <w:rFonts w:ascii="IBM Plex Serif" w:hAnsi="IBM Plex Serif"/>
                <w:bCs/>
              </w:rPr>
              <w:t>disciplines</w:t>
            </w:r>
            <w:proofErr w:type="spellEnd"/>
            <w:r w:rsidR="00324AD6" w:rsidRPr="00324AD6">
              <w:rPr>
                <w:rFonts w:ascii="IBM Plex Serif" w:hAnsi="IBM Plex Serif"/>
                <w:bCs/>
              </w:rPr>
              <w:t>;</w:t>
            </w:r>
          </w:p>
        </w:tc>
      </w:tr>
      <w:tr w:rsidR="000214FF" w:rsidRPr="001939C6" w:rsidTr="003D2BBF">
        <w:trPr>
          <w:cantSplit/>
        </w:trPr>
        <w:tc>
          <w:tcPr>
            <w:tcW w:w="9624" w:type="dxa"/>
            <w:gridSpan w:val="15"/>
            <w:tcBorders>
              <w:bottom w:val="single" w:sz="6" w:space="0" w:color="auto"/>
            </w:tcBorders>
            <w:shd w:val="clear" w:color="auto" w:fill="BDD6EE" w:themeFill="accent1" w:themeFillTint="66"/>
          </w:tcPr>
          <w:p w:rsidR="000214FF" w:rsidRPr="001939C6" w:rsidRDefault="00105117" w:rsidP="00105117">
            <w:pPr>
              <w:jc w:val="center"/>
              <w:rPr>
                <w:rFonts w:ascii="IBM Plex Serif" w:hAnsi="IBM Plex Serif"/>
              </w:rPr>
            </w:pPr>
            <w:r w:rsidRPr="001939C6">
              <w:rPr>
                <w:rFonts w:ascii="IBM Plex Serif" w:hAnsi="IBM Plex Serif"/>
                <w:b/>
                <w:bCs/>
              </w:rPr>
              <w:t>Tantárgy tartalma, elsajátítandó ismeretanyag tömör, informáló leírása</w:t>
            </w:r>
            <w:r w:rsidR="00087B74" w:rsidRPr="001939C6">
              <w:rPr>
                <w:rFonts w:ascii="IBM Plex Serif" w:hAnsi="IBM Plex Serif"/>
                <w:b/>
                <w:bCs/>
                <w:vertAlign w:val="superscript"/>
              </w:rPr>
              <w:t>9</w:t>
            </w:r>
            <w:r w:rsidRPr="001939C6">
              <w:rPr>
                <w:rFonts w:ascii="IBM Plex Serif" w:hAnsi="IBM Plex Serif"/>
                <w:b/>
                <w:bCs/>
              </w:rPr>
              <w:t>:</w:t>
            </w:r>
          </w:p>
        </w:tc>
      </w:tr>
      <w:tr w:rsidR="00DA34DC" w:rsidRPr="001939C6" w:rsidTr="003D2BBF">
        <w:trPr>
          <w:cantSplit/>
        </w:trPr>
        <w:tc>
          <w:tcPr>
            <w:tcW w:w="1403" w:type="dxa"/>
            <w:tcBorders>
              <w:top w:val="single" w:sz="6" w:space="0" w:color="auto"/>
            </w:tcBorders>
          </w:tcPr>
          <w:p w:rsidR="00DA34DC" w:rsidRPr="001939C6" w:rsidRDefault="00DA34DC" w:rsidP="00DA34DC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magyarul</w:t>
            </w:r>
          </w:p>
        </w:tc>
        <w:tc>
          <w:tcPr>
            <w:tcW w:w="8221" w:type="dxa"/>
            <w:gridSpan w:val="14"/>
            <w:tcBorders>
              <w:top w:val="single" w:sz="6" w:space="0" w:color="auto"/>
            </w:tcBorders>
          </w:tcPr>
          <w:p w:rsidR="00033770" w:rsidRPr="00033770" w:rsidRDefault="00033770" w:rsidP="00033770">
            <w:pPr>
              <w:suppressAutoHyphens/>
              <w:ind w:left="34"/>
              <w:rPr>
                <w:rFonts w:ascii="IBM Plex Serif" w:hAnsi="IBM Plex Serif"/>
              </w:rPr>
            </w:pPr>
            <w:r w:rsidRPr="00033770">
              <w:rPr>
                <w:rFonts w:ascii="IBM Plex Serif" w:hAnsi="IBM Plex Serif"/>
              </w:rPr>
              <w:t>A kurzus célja a hallgatók megismertetése a környezetvédelem aktuális problémáival, azokra adható lehetséges válaszokkal. Az előadások kifejezetten mérnökhallgatóknak lettek összeállítva és mérnöki aspektusból vizsgálják a kérdéseket. Az oktatás során a Fenntartható Fejlődési Célok 17 pontja mentén ismerjük meg a kérdéskört.</w:t>
            </w:r>
          </w:p>
          <w:p w:rsidR="00DA34DC" w:rsidRPr="001939C6" w:rsidRDefault="00033770" w:rsidP="00033770">
            <w:pPr>
              <w:suppressAutoHyphens/>
              <w:ind w:left="34"/>
              <w:rPr>
                <w:rFonts w:ascii="IBM Plex Serif" w:hAnsi="IBM Plex Serif"/>
              </w:rPr>
            </w:pPr>
            <w:r w:rsidRPr="00033770">
              <w:rPr>
                <w:rFonts w:ascii="IBM Plex Serif" w:hAnsi="IBM Plex Serif"/>
              </w:rPr>
              <w:t xml:space="preserve">A hallgatók betekintést kapnak a környezetvédelmi technológiákba (szennyvíztisztítás, levegőtisztaságvédelem, körforgásos gazdálkodás) és megismerhetik a környezetvédelem legfontosabb </w:t>
            </w:r>
            <w:proofErr w:type="spellStart"/>
            <w:r w:rsidRPr="00033770">
              <w:rPr>
                <w:rFonts w:ascii="IBM Plex Serif" w:hAnsi="IBM Plex Serif"/>
              </w:rPr>
              <w:t>szoftvereit</w:t>
            </w:r>
            <w:proofErr w:type="spellEnd"/>
            <w:r w:rsidRPr="00033770">
              <w:rPr>
                <w:rFonts w:ascii="IBM Plex Serif" w:hAnsi="IBM Plex Serif"/>
              </w:rPr>
              <w:t>, számítási metódusait.</w:t>
            </w:r>
          </w:p>
        </w:tc>
      </w:tr>
      <w:tr w:rsidR="00DA34DC" w:rsidRPr="001939C6" w:rsidTr="003D2BBF">
        <w:trPr>
          <w:cantSplit/>
        </w:trPr>
        <w:tc>
          <w:tcPr>
            <w:tcW w:w="1403" w:type="dxa"/>
          </w:tcPr>
          <w:p w:rsidR="00DA34DC" w:rsidRPr="001939C6" w:rsidRDefault="00DA34DC" w:rsidP="00DA34DC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angolul</w:t>
            </w:r>
          </w:p>
        </w:tc>
        <w:tc>
          <w:tcPr>
            <w:tcW w:w="8221" w:type="dxa"/>
            <w:gridSpan w:val="14"/>
          </w:tcPr>
          <w:p w:rsidR="00033770" w:rsidRPr="00033770" w:rsidRDefault="00033770" w:rsidP="00033770">
            <w:pPr>
              <w:suppressAutoHyphens/>
              <w:ind w:left="34"/>
              <w:rPr>
                <w:rFonts w:ascii="IBM Plex Serif" w:hAnsi="IBM Plex Serif"/>
              </w:rPr>
            </w:pPr>
            <w:r w:rsidRPr="00033770">
              <w:rPr>
                <w:rFonts w:ascii="IBM Plex Serif" w:hAnsi="IBM Plex Serif"/>
              </w:rPr>
              <w:t xml:space="preserve">The </w:t>
            </w:r>
            <w:proofErr w:type="spellStart"/>
            <w:r w:rsidRPr="00033770">
              <w:rPr>
                <w:rFonts w:ascii="IBM Plex Serif" w:hAnsi="IBM Plex Serif"/>
              </w:rPr>
              <w:t>course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aims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to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familiarise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students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with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the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current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problems</w:t>
            </w:r>
            <w:proofErr w:type="spellEnd"/>
            <w:r w:rsidRPr="00033770">
              <w:rPr>
                <w:rFonts w:ascii="IBM Plex Serif" w:hAnsi="IBM Plex Serif"/>
              </w:rPr>
              <w:t xml:space="preserve"> of </w:t>
            </w:r>
            <w:proofErr w:type="spellStart"/>
            <w:r w:rsidRPr="00033770">
              <w:rPr>
                <w:rFonts w:ascii="IBM Plex Serif" w:hAnsi="IBM Plex Serif"/>
              </w:rPr>
              <w:t>environmental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protection</w:t>
            </w:r>
            <w:proofErr w:type="spellEnd"/>
            <w:r w:rsidRPr="00033770">
              <w:rPr>
                <w:rFonts w:ascii="IBM Plex Serif" w:hAnsi="IBM Plex Serif"/>
              </w:rPr>
              <w:t xml:space="preserve"> and </w:t>
            </w:r>
            <w:proofErr w:type="spellStart"/>
            <w:r w:rsidRPr="00033770">
              <w:rPr>
                <w:rFonts w:ascii="IBM Plex Serif" w:hAnsi="IBM Plex Serif"/>
              </w:rPr>
              <w:t>possible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responses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to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them</w:t>
            </w:r>
            <w:proofErr w:type="spellEnd"/>
            <w:r w:rsidRPr="00033770">
              <w:rPr>
                <w:rFonts w:ascii="IBM Plex Serif" w:hAnsi="IBM Plex Serif"/>
              </w:rPr>
              <w:t xml:space="preserve">. The </w:t>
            </w:r>
            <w:proofErr w:type="spellStart"/>
            <w:r w:rsidRPr="00033770">
              <w:rPr>
                <w:rFonts w:ascii="IBM Plex Serif" w:hAnsi="IBM Plex Serif"/>
              </w:rPr>
              <w:t>lectures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are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specifically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designed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for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engineering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students</w:t>
            </w:r>
            <w:proofErr w:type="spellEnd"/>
            <w:r w:rsidRPr="00033770">
              <w:rPr>
                <w:rFonts w:ascii="IBM Plex Serif" w:hAnsi="IBM Plex Serif"/>
              </w:rPr>
              <w:t xml:space="preserve"> and </w:t>
            </w:r>
            <w:proofErr w:type="spellStart"/>
            <w:r w:rsidRPr="00033770">
              <w:rPr>
                <w:rFonts w:ascii="IBM Plex Serif" w:hAnsi="IBM Plex Serif"/>
              </w:rPr>
              <w:t>examine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the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issues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from</w:t>
            </w:r>
            <w:proofErr w:type="spellEnd"/>
            <w:r w:rsidRPr="00033770">
              <w:rPr>
                <w:rFonts w:ascii="IBM Plex Serif" w:hAnsi="IBM Plex Serif"/>
              </w:rPr>
              <w:t xml:space="preserve"> an </w:t>
            </w:r>
            <w:proofErr w:type="spellStart"/>
            <w:r w:rsidRPr="00033770">
              <w:rPr>
                <w:rFonts w:ascii="IBM Plex Serif" w:hAnsi="IBM Plex Serif"/>
              </w:rPr>
              <w:t>engineering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perspective</w:t>
            </w:r>
            <w:proofErr w:type="spellEnd"/>
            <w:r w:rsidRPr="00033770">
              <w:rPr>
                <w:rFonts w:ascii="IBM Plex Serif" w:hAnsi="IBM Plex Serif"/>
              </w:rPr>
              <w:t xml:space="preserve">. The </w:t>
            </w:r>
            <w:proofErr w:type="spellStart"/>
            <w:r w:rsidRPr="00033770">
              <w:rPr>
                <w:rFonts w:ascii="IBM Plex Serif" w:hAnsi="IBM Plex Serif"/>
              </w:rPr>
              <w:t>lessons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will</w:t>
            </w:r>
            <w:proofErr w:type="spellEnd"/>
            <w:r w:rsidRPr="00033770">
              <w:rPr>
                <w:rFonts w:ascii="IBM Plex Serif" w:hAnsi="IBM Plex Serif"/>
              </w:rPr>
              <w:t xml:space="preserve"> be </w:t>
            </w:r>
            <w:proofErr w:type="spellStart"/>
            <w:r w:rsidRPr="00033770">
              <w:rPr>
                <w:rFonts w:ascii="IBM Plex Serif" w:hAnsi="IBM Plex Serif"/>
              </w:rPr>
              <w:t>presented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along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the</w:t>
            </w:r>
            <w:proofErr w:type="spellEnd"/>
            <w:r w:rsidRPr="00033770">
              <w:rPr>
                <w:rFonts w:ascii="IBM Plex Serif" w:hAnsi="IBM Plex Serif"/>
              </w:rPr>
              <w:t xml:space="preserve"> 17 </w:t>
            </w:r>
            <w:proofErr w:type="spellStart"/>
            <w:r w:rsidRPr="00033770">
              <w:rPr>
                <w:rFonts w:ascii="IBM Plex Serif" w:hAnsi="IBM Plex Serif"/>
              </w:rPr>
              <w:t>points</w:t>
            </w:r>
            <w:proofErr w:type="spellEnd"/>
            <w:r w:rsidRPr="00033770">
              <w:rPr>
                <w:rFonts w:ascii="IBM Plex Serif" w:hAnsi="IBM Plex Serif"/>
              </w:rPr>
              <w:t xml:space="preserve"> of </w:t>
            </w:r>
            <w:proofErr w:type="spellStart"/>
            <w:r w:rsidRPr="00033770">
              <w:rPr>
                <w:rFonts w:ascii="IBM Plex Serif" w:hAnsi="IBM Plex Serif"/>
              </w:rPr>
              <w:t>the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Sustainable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Development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Goals</w:t>
            </w:r>
            <w:proofErr w:type="spellEnd"/>
            <w:r w:rsidRPr="00033770">
              <w:rPr>
                <w:rFonts w:ascii="IBM Plex Serif" w:hAnsi="IBM Plex Serif"/>
              </w:rPr>
              <w:t>.</w:t>
            </w:r>
          </w:p>
          <w:p w:rsidR="00DA34DC" w:rsidRPr="001939C6" w:rsidRDefault="00033770" w:rsidP="00033770">
            <w:pPr>
              <w:suppressAutoHyphens/>
              <w:ind w:left="34"/>
              <w:rPr>
                <w:rFonts w:ascii="IBM Plex Serif" w:hAnsi="IBM Plex Serif"/>
                <w:b/>
                <w:bCs/>
              </w:rPr>
            </w:pPr>
            <w:proofErr w:type="spellStart"/>
            <w:r w:rsidRPr="00033770">
              <w:rPr>
                <w:rFonts w:ascii="IBM Plex Serif" w:hAnsi="IBM Plex Serif"/>
              </w:rPr>
              <w:t>Students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will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gain</w:t>
            </w:r>
            <w:proofErr w:type="spellEnd"/>
            <w:r w:rsidRPr="00033770">
              <w:rPr>
                <w:rFonts w:ascii="IBM Plex Serif" w:hAnsi="IBM Plex Serif"/>
              </w:rPr>
              <w:t xml:space="preserve"> an </w:t>
            </w:r>
            <w:proofErr w:type="spellStart"/>
            <w:r w:rsidRPr="00033770">
              <w:rPr>
                <w:rFonts w:ascii="IBM Plex Serif" w:hAnsi="IBM Plex Serif"/>
              </w:rPr>
              <w:t>insight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into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environmental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technologies</w:t>
            </w:r>
            <w:proofErr w:type="spellEnd"/>
            <w:r w:rsidRPr="00033770">
              <w:rPr>
                <w:rFonts w:ascii="IBM Plex Serif" w:hAnsi="IBM Plex Serif"/>
              </w:rPr>
              <w:t xml:space="preserve"> (</w:t>
            </w:r>
            <w:proofErr w:type="spellStart"/>
            <w:r w:rsidRPr="00033770">
              <w:rPr>
                <w:rFonts w:ascii="IBM Plex Serif" w:hAnsi="IBM Plex Serif"/>
              </w:rPr>
              <w:t>wastewater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treatment</w:t>
            </w:r>
            <w:proofErr w:type="spellEnd"/>
            <w:r w:rsidRPr="00033770">
              <w:rPr>
                <w:rFonts w:ascii="IBM Plex Serif" w:hAnsi="IBM Plex Serif"/>
              </w:rPr>
              <w:t xml:space="preserve">, air </w:t>
            </w:r>
            <w:proofErr w:type="spellStart"/>
            <w:r w:rsidRPr="00033770">
              <w:rPr>
                <w:rFonts w:ascii="IBM Plex Serif" w:hAnsi="IBM Plex Serif"/>
              </w:rPr>
              <w:t>pollution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control</w:t>
            </w:r>
            <w:proofErr w:type="spellEnd"/>
            <w:r w:rsidRPr="00033770">
              <w:rPr>
                <w:rFonts w:ascii="IBM Plex Serif" w:hAnsi="IBM Plex Serif"/>
              </w:rPr>
              <w:t xml:space="preserve">, </w:t>
            </w:r>
            <w:proofErr w:type="spellStart"/>
            <w:r w:rsidRPr="00033770">
              <w:rPr>
                <w:rFonts w:ascii="IBM Plex Serif" w:hAnsi="IBM Plex Serif"/>
              </w:rPr>
              <w:t>circular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economy</w:t>
            </w:r>
            <w:proofErr w:type="spellEnd"/>
            <w:r w:rsidRPr="00033770">
              <w:rPr>
                <w:rFonts w:ascii="IBM Plex Serif" w:hAnsi="IBM Plex Serif"/>
              </w:rPr>
              <w:t xml:space="preserve">) and </w:t>
            </w:r>
            <w:proofErr w:type="spellStart"/>
            <w:r w:rsidRPr="00033770">
              <w:rPr>
                <w:rFonts w:ascii="IBM Plex Serif" w:hAnsi="IBM Plex Serif"/>
              </w:rPr>
              <w:t>learn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about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the</w:t>
            </w:r>
            <w:proofErr w:type="spellEnd"/>
            <w:r w:rsidRPr="00033770">
              <w:rPr>
                <w:rFonts w:ascii="IBM Plex Serif" w:hAnsi="IBM Plex Serif"/>
              </w:rPr>
              <w:t xml:space="preserve"> most </w:t>
            </w:r>
            <w:proofErr w:type="spellStart"/>
            <w:r w:rsidRPr="00033770">
              <w:rPr>
                <w:rFonts w:ascii="IBM Plex Serif" w:hAnsi="IBM Plex Serif"/>
              </w:rPr>
              <w:t>important</w:t>
            </w:r>
            <w:proofErr w:type="spellEnd"/>
            <w:r w:rsidRPr="00033770">
              <w:rPr>
                <w:rFonts w:ascii="IBM Plex Serif" w:hAnsi="IBM Plex Serif"/>
              </w:rPr>
              <w:t xml:space="preserve"> software and </w:t>
            </w:r>
            <w:proofErr w:type="spellStart"/>
            <w:r w:rsidRPr="00033770">
              <w:rPr>
                <w:rFonts w:ascii="IBM Plex Serif" w:hAnsi="IBM Plex Serif"/>
              </w:rPr>
              <w:t>computational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methods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for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environmental</w:t>
            </w:r>
            <w:proofErr w:type="spellEnd"/>
            <w:r w:rsidRPr="00033770">
              <w:rPr>
                <w:rFonts w:ascii="IBM Plex Serif" w:hAnsi="IBM Plex Serif"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</w:rPr>
              <w:t>protection</w:t>
            </w:r>
            <w:proofErr w:type="spellEnd"/>
            <w:r w:rsidRPr="00033770">
              <w:rPr>
                <w:rFonts w:ascii="IBM Plex Serif" w:hAnsi="IBM Plex Serif"/>
              </w:rPr>
              <w:t>.</w:t>
            </w:r>
          </w:p>
        </w:tc>
      </w:tr>
      <w:tr w:rsidR="00DA34DC" w:rsidRPr="001939C6" w:rsidTr="003D2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624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DA34DC" w:rsidRPr="001939C6" w:rsidRDefault="00DA34DC" w:rsidP="00DA34DC">
            <w:pPr>
              <w:jc w:val="center"/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Számonkérési és értékelési rendszer</w:t>
            </w:r>
          </w:p>
        </w:tc>
      </w:tr>
      <w:tr w:rsidR="00DA34DC" w:rsidRPr="001939C6" w:rsidTr="003D2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A34DC" w:rsidRPr="001939C6" w:rsidRDefault="00DA34DC" w:rsidP="00DA34DC">
            <w:pPr>
              <w:jc w:val="center"/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Számonkérés módja</w:t>
            </w:r>
            <w:r w:rsidRPr="001939C6">
              <w:rPr>
                <w:rStyle w:val="Lbjegyzet-hivatkozs"/>
                <w:rFonts w:ascii="IBM Plex Serif" w:hAnsi="IBM Plex Serif"/>
                <w:b/>
                <w:bCs/>
              </w:rPr>
              <w:t>10</w:t>
            </w:r>
          </w:p>
        </w:tc>
      </w:tr>
      <w:tr w:rsidR="00DA34DC" w:rsidRPr="001939C6" w:rsidTr="003D2BBF">
        <w:trPr>
          <w:cantSplit/>
        </w:trPr>
        <w:tc>
          <w:tcPr>
            <w:tcW w:w="1403" w:type="dxa"/>
          </w:tcPr>
          <w:p w:rsidR="00DA34DC" w:rsidRPr="001939C6" w:rsidRDefault="00DA34DC" w:rsidP="00DA34DC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magyarul</w:t>
            </w:r>
          </w:p>
        </w:tc>
        <w:tc>
          <w:tcPr>
            <w:tcW w:w="8221" w:type="dxa"/>
            <w:gridSpan w:val="14"/>
          </w:tcPr>
          <w:p w:rsidR="00BD15C7" w:rsidRPr="001939C6" w:rsidRDefault="00033770" w:rsidP="00BD15C7">
            <w:pPr>
              <w:rPr>
                <w:rFonts w:ascii="IBM Plex Serif" w:hAnsi="IBM Plex Serif"/>
                <w:b/>
                <w:bCs/>
              </w:rPr>
            </w:pPr>
            <w:r w:rsidRPr="00033770">
              <w:rPr>
                <w:rFonts w:ascii="IBM Plex Serif" w:hAnsi="IBM Plex Serif"/>
                <w:bCs/>
              </w:rPr>
              <w:t>Egy darab félévközi ZH, ami a vizsgaidőszaki dolgozatba beleszámít.</w:t>
            </w:r>
          </w:p>
        </w:tc>
      </w:tr>
      <w:tr w:rsidR="00DA34DC" w:rsidRPr="001939C6" w:rsidTr="003D2BBF">
        <w:trPr>
          <w:cantSplit/>
        </w:trPr>
        <w:tc>
          <w:tcPr>
            <w:tcW w:w="1403" w:type="dxa"/>
          </w:tcPr>
          <w:p w:rsidR="00DA34DC" w:rsidRPr="001939C6" w:rsidRDefault="00DA34DC" w:rsidP="00DA34DC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angolul</w:t>
            </w:r>
          </w:p>
        </w:tc>
        <w:tc>
          <w:tcPr>
            <w:tcW w:w="8221" w:type="dxa"/>
            <w:gridSpan w:val="14"/>
          </w:tcPr>
          <w:p w:rsidR="00BD15C7" w:rsidRPr="00BD15C7" w:rsidRDefault="00033770" w:rsidP="00BD15C7">
            <w:pPr>
              <w:rPr>
                <w:rFonts w:ascii="IBM Plex Serif" w:hAnsi="IBM Plex Serif"/>
                <w:bCs/>
              </w:rPr>
            </w:pPr>
            <w:r w:rsidRPr="00033770">
              <w:rPr>
                <w:rFonts w:ascii="IBM Plex Serif" w:hAnsi="IBM Plex Serif"/>
                <w:bCs/>
              </w:rPr>
              <w:t>A mid-</w:t>
            </w:r>
            <w:proofErr w:type="spellStart"/>
            <w:r w:rsidRPr="00033770">
              <w:rPr>
                <w:rFonts w:ascii="IBM Plex Serif" w:hAnsi="IBM Plex Serif"/>
                <w:bCs/>
              </w:rPr>
              <w:t>semester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closed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paper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033770">
              <w:rPr>
                <w:rFonts w:ascii="IBM Plex Serif" w:hAnsi="IBM Plex Serif"/>
                <w:bCs/>
              </w:rPr>
              <w:t>which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is </w:t>
            </w:r>
            <w:proofErr w:type="spellStart"/>
            <w:r w:rsidRPr="00033770">
              <w:rPr>
                <w:rFonts w:ascii="IBM Plex Serif" w:hAnsi="IBM Plex Serif"/>
                <w:bCs/>
              </w:rPr>
              <w:t>included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in </w:t>
            </w:r>
            <w:proofErr w:type="spellStart"/>
            <w:r w:rsidRPr="00033770">
              <w:rPr>
                <w:rFonts w:ascii="IBM Plex Serif" w:hAnsi="IBM Plex Serif"/>
                <w:bCs/>
              </w:rPr>
              <w:t>the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exam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paper</w:t>
            </w:r>
            <w:proofErr w:type="spellEnd"/>
            <w:r w:rsidRPr="00033770">
              <w:rPr>
                <w:rFonts w:ascii="IBM Plex Serif" w:hAnsi="IBM Plex Serif"/>
                <w:bCs/>
              </w:rPr>
              <w:t>.</w:t>
            </w:r>
          </w:p>
        </w:tc>
      </w:tr>
      <w:tr w:rsidR="00DA34DC" w:rsidRPr="001939C6" w:rsidTr="003D2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A34DC" w:rsidRPr="001939C6" w:rsidRDefault="00DA34DC" w:rsidP="00DA34DC">
            <w:pPr>
              <w:autoSpaceDE/>
              <w:autoSpaceDN/>
              <w:jc w:val="center"/>
              <w:rPr>
                <w:rFonts w:ascii="IBM Plex Serif" w:hAnsi="IBM Plex Serif" w:cs="Arial"/>
                <w:b/>
                <w:bCs/>
                <w:szCs w:val="18"/>
              </w:rPr>
            </w:pPr>
            <w:r w:rsidRPr="001939C6">
              <w:rPr>
                <w:rFonts w:ascii="IBM Plex Serif" w:hAnsi="IBM Plex Serif" w:cs="Arial"/>
                <w:b/>
                <w:bCs/>
                <w:szCs w:val="18"/>
              </w:rPr>
              <w:lastRenderedPageBreak/>
              <w:t>Leckekönyv-aláírási feltételek</w:t>
            </w:r>
            <w:r w:rsidRPr="001939C6">
              <w:rPr>
                <w:rStyle w:val="Lbjegyzet-hivatkozs"/>
                <w:rFonts w:ascii="IBM Plex Serif" w:hAnsi="IBM Plex Serif" w:cs="Arial"/>
                <w:b/>
                <w:bCs/>
                <w:szCs w:val="18"/>
              </w:rPr>
              <w:t>11</w:t>
            </w:r>
          </w:p>
        </w:tc>
      </w:tr>
      <w:tr w:rsidR="00DA34DC" w:rsidRPr="001939C6" w:rsidTr="003D2BBF">
        <w:trPr>
          <w:cantSplit/>
        </w:trPr>
        <w:tc>
          <w:tcPr>
            <w:tcW w:w="1403" w:type="dxa"/>
          </w:tcPr>
          <w:p w:rsidR="00DA34DC" w:rsidRPr="001939C6" w:rsidRDefault="00DA34DC" w:rsidP="00DA34DC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Magyarul</w:t>
            </w:r>
          </w:p>
        </w:tc>
        <w:tc>
          <w:tcPr>
            <w:tcW w:w="8221" w:type="dxa"/>
            <w:gridSpan w:val="14"/>
          </w:tcPr>
          <w:p w:rsidR="00DA34DC" w:rsidRPr="001939C6" w:rsidRDefault="00033770" w:rsidP="00DA34DC">
            <w:pPr>
              <w:rPr>
                <w:rFonts w:ascii="IBM Plex Serif" w:hAnsi="IBM Plex Serif"/>
                <w:b/>
                <w:bCs/>
              </w:rPr>
            </w:pPr>
            <w:r w:rsidRPr="00033770">
              <w:rPr>
                <w:rFonts w:ascii="IBM Plex Serif" w:hAnsi="IBM Plex Serif"/>
              </w:rPr>
              <w:t>Az aláírást csak akkor kaphatja meg a hallgató, ha a hiányzások száma nem haladja meg a HKR-ben foglaltakat.</w:t>
            </w:r>
          </w:p>
        </w:tc>
      </w:tr>
      <w:tr w:rsidR="00DA34DC" w:rsidRPr="001939C6" w:rsidTr="003D2BBF">
        <w:trPr>
          <w:cantSplit/>
        </w:trPr>
        <w:tc>
          <w:tcPr>
            <w:tcW w:w="1403" w:type="dxa"/>
          </w:tcPr>
          <w:p w:rsidR="00DA34DC" w:rsidRPr="001939C6" w:rsidRDefault="00DA34DC" w:rsidP="00DA34DC">
            <w:pPr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angolul</w:t>
            </w:r>
          </w:p>
        </w:tc>
        <w:tc>
          <w:tcPr>
            <w:tcW w:w="8221" w:type="dxa"/>
            <w:gridSpan w:val="14"/>
          </w:tcPr>
          <w:p w:rsidR="00DA34DC" w:rsidRPr="001939C6" w:rsidRDefault="00033770" w:rsidP="00DA34DC">
            <w:pPr>
              <w:rPr>
                <w:rFonts w:ascii="IBM Plex Serif" w:hAnsi="IBM Plex Serif"/>
                <w:bCs/>
              </w:rPr>
            </w:pPr>
            <w:r w:rsidRPr="00033770">
              <w:rPr>
                <w:rFonts w:ascii="IBM Plex Serif" w:hAnsi="IBM Plex Serif"/>
                <w:bCs/>
              </w:rPr>
              <w:t xml:space="preserve">The </w:t>
            </w:r>
            <w:proofErr w:type="spellStart"/>
            <w:r w:rsidRPr="00033770">
              <w:rPr>
                <w:rFonts w:ascii="IBM Plex Serif" w:hAnsi="IBM Plex Serif"/>
                <w:bCs/>
              </w:rPr>
              <w:t>student’s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semester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will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be </w:t>
            </w:r>
            <w:proofErr w:type="spellStart"/>
            <w:r w:rsidRPr="00033770">
              <w:rPr>
                <w:rFonts w:ascii="IBM Plex Serif" w:hAnsi="IBM Plex Serif"/>
                <w:bCs/>
              </w:rPr>
              <w:t>endorsed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only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if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the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absences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are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not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overrun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the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number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033770">
              <w:rPr>
                <w:rFonts w:ascii="IBM Plex Serif" w:hAnsi="IBM Plex Serif"/>
                <w:bCs/>
              </w:rPr>
              <w:t>the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allowed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absent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days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defined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in HKR (</w:t>
            </w:r>
            <w:proofErr w:type="spellStart"/>
            <w:r w:rsidRPr="00033770">
              <w:rPr>
                <w:rFonts w:ascii="IBM Plex Serif" w:hAnsi="IBM Plex Serif"/>
                <w:bCs/>
              </w:rPr>
              <w:t>Rules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033770">
              <w:rPr>
                <w:rFonts w:ascii="IBM Plex Serif" w:hAnsi="IBM Plex Serif"/>
                <w:bCs/>
              </w:rPr>
              <w:t>Requirements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for</w:t>
            </w:r>
            <w:proofErr w:type="spellEnd"/>
            <w:r w:rsidRPr="00033770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33770">
              <w:rPr>
                <w:rFonts w:ascii="IBM Plex Serif" w:hAnsi="IBM Plex Serif"/>
                <w:bCs/>
              </w:rPr>
              <w:t>Students</w:t>
            </w:r>
            <w:proofErr w:type="spellEnd"/>
            <w:r w:rsidRPr="00033770">
              <w:rPr>
                <w:rFonts w:ascii="IBM Plex Serif" w:hAnsi="IBM Plex Serif"/>
                <w:bCs/>
              </w:rPr>
              <w:t>).</w:t>
            </w:r>
          </w:p>
        </w:tc>
      </w:tr>
      <w:tr w:rsidR="003D2BBF" w:rsidTr="003D2B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624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  <w:hideMark/>
          </w:tcPr>
          <w:p w:rsidR="003D2BBF" w:rsidRPr="005906C8" w:rsidRDefault="003D2BBF" w:rsidP="00FC61E6">
            <w:pPr>
              <w:jc w:val="center"/>
              <w:rPr>
                <w:rFonts w:ascii="IBM Plex Serif" w:hAnsi="IBM Plex Serif"/>
                <w:b/>
                <w:bCs/>
              </w:rPr>
            </w:pPr>
            <w:bookmarkStart w:id="1" w:name="_Hlk181869830"/>
            <w:r w:rsidRPr="005906C8">
              <w:rPr>
                <w:rFonts w:ascii="IBM Plex Serif" w:hAnsi="IBM Plex Serif"/>
                <w:b/>
                <w:bCs/>
              </w:rPr>
              <w:t>MI eszközök alkalmazásának javaslata és elvárt módja</w:t>
            </w:r>
            <w:r w:rsidRPr="00897E3D">
              <w:rPr>
                <w:rFonts w:ascii="IBM Plex Serif" w:hAnsi="IBM Plex Serif"/>
                <w:b/>
                <w:bCs/>
                <w:vertAlign w:val="superscript"/>
              </w:rPr>
              <w:t>12</w:t>
            </w:r>
            <w:r w:rsidRPr="005906C8">
              <w:rPr>
                <w:rFonts w:ascii="IBM Plex Serif" w:hAnsi="IBM Plex Serif"/>
                <w:b/>
                <w:bCs/>
              </w:rPr>
              <w:t> </w:t>
            </w:r>
          </w:p>
        </w:tc>
      </w:tr>
      <w:tr w:rsidR="003D2BBF" w:rsidRPr="005906C8" w:rsidTr="003D2B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2BBF" w:rsidRPr="005906C8" w:rsidRDefault="003D2BBF" w:rsidP="00FC61E6">
            <w:pPr>
              <w:rPr>
                <w:rFonts w:ascii="IBM Plex Serif" w:hAnsi="IBM Plex Serif"/>
                <w:b/>
                <w:bCs/>
              </w:rPr>
            </w:pPr>
            <w:r w:rsidRPr="005906C8">
              <w:rPr>
                <w:rFonts w:ascii="IBM Plex Serif" w:hAnsi="IBM Plex Serif"/>
                <w:b/>
                <w:bCs/>
              </w:rPr>
              <w:t>magyarul 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3D2BBF" w:rsidRPr="005906C8" w:rsidRDefault="003D2BBF" w:rsidP="00FC61E6">
            <w:pPr>
              <w:rPr>
                <w:rFonts w:ascii="IBM Plex Serif" w:hAnsi="IBM Plex Serif"/>
                <w:bCs/>
              </w:rPr>
            </w:pPr>
            <w:r w:rsidRPr="005906C8">
              <w:rPr>
                <w:rFonts w:ascii="IBM Plex Serif" w:hAnsi="IBM Plex Serif"/>
                <w:bCs/>
              </w:rPr>
              <w:t> A tárgy keretében a MI eszközök alkalmazása a felkészülés során megengedett, de a beadandó feladatokhoz és a számonkérés során használatuk tiltott.</w:t>
            </w:r>
          </w:p>
        </w:tc>
      </w:tr>
      <w:tr w:rsidR="003D2BBF" w:rsidRPr="005906C8" w:rsidTr="003D2BB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3D2BBF" w:rsidRPr="005906C8" w:rsidRDefault="003D2BBF" w:rsidP="00FC61E6">
            <w:pPr>
              <w:rPr>
                <w:rFonts w:ascii="IBM Plex Serif" w:hAnsi="IBM Plex Serif"/>
                <w:b/>
                <w:bCs/>
              </w:rPr>
            </w:pPr>
            <w:r w:rsidRPr="005906C8">
              <w:rPr>
                <w:rFonts w:ascii="IBM Plex Serif" w:hAnsi="IBM Plex Serif"/>
                <w:b/>
                <w:bCs/>
              </w:rPr>
              <w:t>angolul </w:t>
            </w:r>
          </w:p>
        </w:tc>
        <w:tc>
          <w:tcPr>
            <w:tcW w:w="8221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D2BBF" w:rsidRPr="005906C8" w:rsidRDefault="003D2BBF" w:rsidP="00FC61E6">
            <w:pPr>
              <w:rPr>
                <w:rFonts w:ascii="IBM Plex Serif" w:hAnsi="IBM Plex Serif"/>
                <w:bCs/>
              </w:rPr>
            </w:pPr>
            <w:r w:rsidRPr="005906C8">
              <w:rPr>
                <w:rFonts w:ascii="IBM Plex Serif" w:hAnsi="IBM Plex Serif"/>
                <w:bCs/>
              </w:rPr>
              <w:t xml:space="preserve"> In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subject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, AI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tools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are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allowed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during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preparation, </w:t>
            </w:r>
            <w:proofErr w:type="spellStart"/>
            <w:r w:rsidRPr="005906C8">
              <w:rPr>
                <w:rFonts w:ascii="IBM Plex Serif" w:hAnsi="IBM Plex Serif"/>
                <w:bCs/>
              </w:rPr>
              <w:t>but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their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use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for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assignment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5906C8">
              <w:rPr>
                <w:rFonts w:ascii="IBM Plex Serif" w:hAnsi="IBM Plex Serif"/>
                <w:bCs/>
              </w:rPr>
              <w:t>during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written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5906C8">
              <w:rPr>
                <w:rFonts w:ascii="IBM Plex Serif" w:hAnsi="IBM Plex Serif"/>
                <w:bCs/>
              </w:rPr>
              <w:t>oral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exams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is </w:t>
            </w:r>
            <w:proofErr w:type="spellStart"/>
            <w:r w:rsidRPr="005906C8">
              <w:rPr>
                <w:rFonts w:ascii="IBM Plex Serif" w:hAnsi="IBM Plex Serif"/>
                <w:bCs/>
              </w:rPr>
              <w:t>prohibited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.  </w:t>
            </w:r>
          </w:p>
        </w:tc>
      </w:tr>
      <w:bookmarkEnd w:id="1"/>
      <w:tr w:rsidR="00DA34DC" w:rsidRPr="001939C6" w:rsidTr="003D2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DA34DC" w:rsidRPr="001939C6" w:rsidRDefault="00DA34DC" w:rsidP="00DA34DC">
            <w:pPr>
              <w:autoSpaceDE/>
              <w:autoSpaceDN/>
              <w:jc w:val="center"/>
              <w:rPr>
                <w:rFonts w:ascii="IBM Plex Serif" w:hAnsi="IBM Plex Serif" w:cs="Arial"/>
                <w:b/>
                <w:bCs/>
                <w:szCs w:val="18"/>
              </w:rPr>
            </w:pPr>
            <w:r w:rsidRPr="001939C6">
              <w:rPr>
                <w:rFonts w:ascii="IBM Plex Serif" w:hAnsi="IBM Plex Serif" w:cs="Arial"/>
                <w:b/>
                <w:bCs/>
                <w:szCs w:val="18"/>
              </w:rPr>
              <w:t>Irodalmak</w:t>
            </w:r>
            <w:r w:rsidRPr="001939C6">
              <w:rPr>
                <w:rStyle w:val="Lbjegyzet-hivatkozs"/>
                <w:rFonts w:ascii="IBM Plex Serif" w:hAnsi="IBM Plex Serif" w:cs="Arial"/>
                <w:b/>
                <w:bCs/>
                <w:szCs w:val="18"/>
              </w:rPr>
              <w:t>1</w:t>
            </w:r>
            <w:r w:rsidR="003D2BBF" w:rsidRPr="003D2BBF">
              <w:rPr>
                <w:rStyle w:val="Lbjegyzet-hivatkozs"/>
                <w:rFonts w:ascii="IBM Plex Serif" w:hAnsi="IBM Plex Serif" w:cs="Arial"/>
                <w:b/>
                <w:bCs/>
                <w:szCs w:val="18"/>
              </w:rPr>
              <w:t>3</w:t>
            </w:r>
          </w:p>
        </w:tc>
      </w:tr>
      <w:tr w:rsidR="00DA34DC" w:rsidRPr="001939C6" w:rsidTr="003D2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4DC" w:rsidRPr="001939C6" w:rsidRDefault="00DA34DC" w:rsidP="001939C6">
            <w:pPr>
              <w:autoSpaceDE/>
              <w:autoSpaceDN/>
              <w:jc w:val="left"/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Kötelező: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3770" w:rsidRPr="00033770" w:rsidRDefault="00033770" w:rsidP="00033770">
            <w:pPr>
              <w:suppressAutoHyphens/>
              <w:ind w:left="34"/>
              <w:jc w:val="left"/>
              <w:rPr>
                <w:rFonts w:ascii="IBM Plex Serif" w:hAnsi="IBM Plex Serif"/>
              </w:rPr>
            </w:pPr>
            <w:r w:rsidRPr="00033770">
              <w:rPr>
                <w:rFonts w:ascii="IBM Plex Serif" w:hAnsi="IBM Plex Serif"/>
              </w:rPr>
              <w:t xml:space="preserve">Földünk állapota (Dr. </w:t>
            </w:r>
            <w:proofErr w:type="spellStart"/>
            <w:r w:rsidRPr="00033770">
              <w:rPr>
                <w:rFonts w:ascii="IBM Plex Serif" w:hAnsi="IBM Plex Serif"/>
              </w:rPr>
              <w:t>Utasi</w:t>
            </w:r>
            <w:proofErr w:type="spellEnd"/>
            <w:r w:rsidRPr="00033770">
              <w:rPr>
                <w:rFonts w:ascii="IBM Plex Serif" w:hAnsi="IBM Plex Serif"/>
              </w:rPr>
              <w:t xml:space="preserve"> Anett), 2019, Pannon Egyetem, ISBN: 978-963-396-133-9</w:t>
            </w:r>
          </w:p>
          <w:p w:rsidR="00033770" w:rsidRPr="00033770" w:rsidRDefault="00033770" w:rsidP="00033770">
            <w:pPr>
              <w:suppressAutoHyphens/>
              <w:ind w:left="34"/>
              <w:jc w:val="left"/>
              <w:rPr>
                <w:rFonts w:ascii="IBM Plex Serif" w:hAnsi="IBM Plex Serif"/>
              </w:rPr>
            </w:pPr>
            <w:r w:rsidRPr="00033770">
              <w:rPr>
                <w:rFonts w:ascii="IBM Plex Serif" w:hAnsi="IBM Plex Serif"/>
              </w:rPr>
              <w:t>KSH SDG aloldal (https://www.ksh.hu/sdg)</w:t>
            </w:r>
          </w:p>
          <w:p w:rsidR="00033770" w:rsidRPr="00033770" w:rsidRDefault="00033770" w:rsidP="00033770">
            <w:pPr>
              <w:suppressAutoHyphens/>
              <w:ind w:left="34"/>
              <w:jc w:val="left"/>
              <w:rPr>
                <w:rFonts w:ascii="IBM Plex Serif" w:hAnsi="IBM Plex Serif"/>
              </w:rPr>
            </w:pPr>
            <w:r w:rsidRPr="00033770">
              <w:rPr>
                <w:rFonts w:ascii="IBM Plex Serif" w:hAnsi="IBM Plex Serif"/>
              </w:rPr>
              <w:t>ENSZ SDG aloldala (https://sdgs.un.org/goals)</w:t>
            </w:r>
          </w:p>
          <w:p w:rsidR="00DA34DC" w:rsidRPr="001939C6" w:rsidRDefault="00033770" w:rsidP="00033770">
            <w:pPr>
              <w:suppressAutoHyphens/>
              <w:ind w:left="34"/>
              <w:jc w:val="left"/>
              <w:rPr>
                <w:rFonts w:ascii="IBM Plex Serif" w:hAnsi="IBM Plex Serif"/>
              </w:rPr>
            </w:pPr>
            <w:r w:rsidRPr="00033770">
              <w:rPr>
                <w:rFonts w:ascii="IBM Plex Serif" w:hAnsi="IBM Plex Serif"/>
              </w:rPr>
              <w:t>Környezetmérnöki tudástár: https://tudastar.mk.uni-pannon.hu/</w:t>
            </w:r>
          </w:p>
        </w:tc>
      </w:tr>
      <w:tr w:rsidR="00DA34DC" w:rsidRPr="001939C6" w:rsidTr="003D2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34DC" w:rsidRPr="001939C6" w:rsidRDefault="00DA34DC" w:rsidP="001939C6">
            <w:pPr>
              <w:autoSpaceDE/>
              <w:autoSpaceDN/>
              <w:jc w:val="left"/>
              <w:rPr>
                <w:rFonts w:ascii="IBM Plex Serif" w:hAnsi="IBM Plex Serif"/>
                <w:b/>
                <w:bCs/>
              </w:rPr>
            </w:pPr>
            <w:r w:rsidRPr="001939C6">
              <w:rPr>
                <w:rFonts w:ascii="IBM Plex Serif" w:hAnsi="IBM Plex Serif"/>
                <w:b/>
                <w:bCs/>
              </w:rPr>
              <w:t>Ajánlott:</w:t>
            </w:r>
          </w:p>
        </w:tc>
        <w:tc>
          <w:tcPr>
            <w:tcW w:w="8221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34DC" w:rsidRPr="001939C6" w:rsidRDefault="001939C6" w:rsidP="001939C6">
            <w:pPr>
              <w:autoSpaceDE/>
              <w:autoSpaceDN/>
              <w:jc w:val="left"/>
              <w:rPr>
                <w:rFonts w:ascii="IBM Plex Serif" w:hAnsi="IBM Plex Serif"/>
                <w:bCs/>
              </w:rPr>
            </w:pPr>
            <w:r>
              <w:rPr>
                <w:rFonts w:ascii="IBM Plex Serif" w:hAnsi="IBM Plex Serif"/>
                <w:bCs/>
              </w:rPr>
              <w:t>-</w:t>
            </w:r>
          </w:p>
        </w:tc>
      </w:tr>
    </w:tbl>
    <w:p w:rsidR="007D3E9C" w:rsidRPr="001939C6" w:rsidRDefault="007D3E9C" w:rsidP="007D3E9C">
      <w:pPr>
        <w:pStyle w:val="Lbjegyzetszveg"/>
        <w:rPr>
          <w:rFonts w:ascii="IBM Plex Serif" w:hAnsi="IBM Plex Serif"/>
        </w:rPr>
      </w:pPr>
    </w:p>
    <w:sectPr w:rsidR="007D3E9C" w:rsidRPr="00193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D72" w:rsidRDefault="00771D72" w:rsidP="00A53ED8">
      <w:r>
        <w:separator/>
      </w:r>
    </w:p>
  </w:endnote>
  <w:endnote w:type="continuationSeparator" w:id="0">
    <w:p w:rsidR="00771D72" w:rsidRDefault="00771D72" w:rsidP="00A5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fair Display">
    <w:altName w:val="Calibri"/>
    <w:charset w:val="EE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erif">
    <w:altName w:val="Cambria Math"/>
    <w:charset w:val="EE"/>
    <w:family w:val="roman"/>
    <w:pitch w:val="variable"/>
    <w:sig w:usb0="A000026F" w:usb1="5000203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D72" w:rsidRDefault="00771D72" w:rsidP="00A53ED8">
      <w:r>
        <w:separator/>
      </w:r>
    </w:p>
  </w:footnote>
  <w:footnote w:type="continuationSeparator" w:id="0">
    <w:p w:rsidR="00771D72" w:rsidRDefault="00771D72" w:rsidP="00A5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4009"/>
    <w:multiLevelType w:val="hybridMultilevel"/>
    <w:tmpl w:val="DCE6041A"/>
    <w:lvl w:ilvl="0" w:tplc="EDDCB3F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9B045F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9A10BE"/>
    <w:multiLevelType w:val="hybridMultilevel"/>
    <w:tmpl w:val="0A8E5B7E"/>
    <w:lvl w:ilvl="0" w:tplc="C8FAA15E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C6E67F0"/>
    <w:multiLevelType w:val="hybridMultilevel"/>
    <w:tmpl w:val="0C2E7D9C"/>
    <w:lvl w:ilvl="0" w:tplc="040E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C77128"/>
    <w:multiLevelType w:val="hybridMultilevel"/>
    <w:tmpl w:val="0C2E7D9C"/>
    <w:lvl w:ilvl="0" w:tplc="040E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A9E1820"/>
    <w:multiLevelType w:val="hybridMultilevel"/>
    <w:tmpl w:val="6066822E"/>
    <w:lvl w:ilvl="0" w:tplc="BAD89F58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40E0494"/>
    <w:multiLevelType w:val="hybridMultilevel"/>
    <w:tmpl w:val="673CEB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9C4D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8145F"/>
    <w:multiLevelType w:val="hybridMultilevel"/>
    <w:tmpl w:val="7B840F7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2C77C4"/>
    <w:multiLevelType w:val="hybridMultilevel"/>
    <w:tmpl w:val="7040E988"/>
    <w:lvl w:ilvl="0" w:tplc="D80E1CAC">
      <w:start w:val="2024"/>
      <w:numFmt w:val="bullet"/>
      <w:lvlText w:val="-"/>
      <w:lvlJc w:val="left"/>
      <w:pPr>
        <w:ind w:left="536" w:hanging="360"/>
      </w:pPr>
      <w:rPr>
        <w:rFonts w:ascii="Playfair Display" w:eastAsia="Times New Roman" w:hAnsi="Playfair Displa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9" w15:restartNumberingAfterBreak="0">
    <w:nsid w:val="631D1C56"/>
    <w:multiLevelType w:val="hybridMultilevel"/>
    <w:tmpl w:val="7D98C898"/>
    <w:lvl w:ilvl="0" w:tplc="4226F8CE">
      <w:start w:val="18"/>
      <w:numFmt w:val="bullet"/>
      <w:lvlText w:val="-"/>
      <w:lvlJc w:val="left"/>
      <w:pPr>
        <w:ind w:left="720" w:hanging="360"/>
      </w:pPr>
      <w:rPr>
        <w:rFonts w:ascii="Playfair Display" w:eastAsia="Times New Roman" w:hAnsi="Playfair Displa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1709E"/>
    <w:multiLevelType w:val="hybridMultilevel"/>
    <w:tmpl w:val="0C2E7D9C"/>
    <w:lvl w:ilvl="0" w:tplc="040E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EC"/>
    <w:rsid w:val="00007183"/>
    <w:rsid w:val="00016641"/>
    <w:rsid w:val="00017D93"/>
    <w:rsid w:val="000214FF"/>
    <w:rsid w:val="00033770"/>
    <w:rsid w:val="00054CFB"/>
    <w:rsid w:val="00087B74"/>
    <w:rsid w:val="000E1489"/>
    <w:rsid w:val="00105117"/>
    <w:rsid w:val="001363EE"/>
    <w:rsid w:val="001939C6"/>
    <w:rsid w:val="001C0924"/>
    <w:rsid w:val="002110BF"/>
    <w:rsid w:val="00226B78"/>
    <w:rsid w:val="00264256"/>
    <w:rsid w:val="002D62CA"/>
    <w:rsid w:val="00305BB9"/>
    <w:rsid w:val="00316F4C"/>
    <w:rsid w:val="00324AD6"/>
    <w:rsid w:val="003D2BBF"/>
    <w:rsid w:val="005176A0"/>
    <w:rsid w:val="005409BC"/>
    <w:rsid w:val="005816C5"/>
    <w:rsid w:val="005E149E"/>
    <w:rsid w:val="00600E8F"/>
    <w:rsid w:val="00670094"/>
    <w:rsid w:val="00691B15"/>
    <w:rsid w:val="006D0EF0"/>
    <w:rsid w:val="00771D72"/>
    <w:rsid w:val="007D3E9C"/>
    <w:rsid w:val="007E037C"/>
    <w:rsid w:val="00831335"/>
    <w:rsid w:val="00833E86"/>
    <w:rsid w:val="00932526"/>
    <w:rsid w:val="009377E1"/>
    <w:rsid w:val="0096434F"/>
    <w:rsid w:val="00980953"/>
    <w:rsid w:val="009C627F"/>
    <w:rsid w:val="009D0B1E"/>
    <w:rsid w:val="009F3726"/>
    <w:rsid w:val="00A30ADE"/>
    <w:rsid w:val="00A53ED8"/>
    <w:rsid w:val="00A565C3"/>
    <w:rsid w:val="00A57F17"/>
    <w:rsid w:val="00A65E69"/>
    <w:rsid w:val="00AA4361"/>
    <w:rsid w:val="00AB6D25"/>
    <w:rsid w:val="00B05257"/>
    <w:rsid w:val="00BD15C7"/>
    <w:rsid w:val="00C04760"/>
    <w:rsid w:val="00C05BA9"/>
    <w:rsid w:val="00CA5DFD"/>
    <w:rsid w:val="00D016EC"/>
    <w:rsid w:val="00D35F25"/>
    <w:rsid w:val="00D905C5"/>
    <w:rsid w:val="00DA34DC"/>
    <w:rsid w:val="00E055F6"/>
    <w:rsid w:val="00E47D09"/>
    <w:rsid w:val="00E90474"/>
    <w:rsid w:val="00EB4008"/>
    <w:rsid w:val="00F17F32"/>
    <w:rsid w:val="00F4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831C"/>
  <w15:chartTrackingRefBased/>
  <w15:docId w15:val="{1D4BE2CF-8536-42D8-862C-CAC74CAC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016E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17F32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53ED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53E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53ED8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65E6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65E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A65E6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87B7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90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70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50809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3850B6BEEE4E6DA1B7C73FE2F585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A1D51C-030B-4146-8E8A-0CD841D6BBB7}"/>
      </w:docPartPr>
      <w:docPartBody>
        <w:p w:rsidR="00D247F7" w:rsidRDefault="00E005FB" w:rsidP="00E005FB">
          <w:pPr>
            <w:pStyle w:val="CF3850B6BEEE4E6DA1B7C73FE2F585BE4"/>
          </w:pPr>
          <w:r w:rsidRPr="00705840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2B7B11E6A8054F6DBAF2FD06DEC5C0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D0B630-07F3-4DDA-A5A1-50F8E12B697F}"/>
      </w:docPartPr>
      <w:docPartBody>
        <w:p w:rsidR="00D247F7" w:rsidRDefault="00E005FB" w:rsidP="00E005FB">
          <w:pPr>
            <w:pStyle w:val="2B7B11E6A8054F6DBAF2FD06DEC5C0D34"/>
          </w:pPr>
          <w:r w:rsidRPr="00705840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7364E883334A480FB8A1102BCA9FC4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3BF37F-3C06-4E33-8861-56F38FC392A3}"/>
      </w:docPartPr>
      <w:docPartBody>
        <w:p w:rsidR="00D247F7" w:rsidRDefault="00E005FB" w:rsidP="00E005FB">
          <w:pPr>
            <w:pStyle w:val="7364E883334A480FB8A1102BCA9FC4443"/>
          </w:pPr>
          <w:r w:rsidRPr="00705840">
            <w:rPr>
              <w:rStyle w:val="Helyrzszveg"/>
              <w:rFonts w:eastAsiaTheme="minorHAnsi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fair Display">
    <w:altName w:val="Calibri"/>
    <w:charset w:val="EE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erif">
    <w:altName w:val="Cambria Math"/>
    <w:charset w:val="EE"/>
    <w:family w:val="roman"/>
    <w:pitch w:val="variable"/>
    <w:sig w:usb0="A000026F" w:usb1="5000203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FB"/>
    <w:rsid w:val="00396273"/>
    <w:rsid w:val="004B07E7"/>
    <w:rsid w:val="005A3B2C"/>
    <w:rsid w:val="005C050D"/>
    <w:rsid w:val="00655C41"/>
    <w:rsid w:val="0066651D"/>
    <w:rsid w:val="00751613"/>
    <w:rsid w:val="00934BCC"/>
    <w:rsid w:val="00B32996"/>
    <w:rsid w:val="00C371CD"/>
    <w:rsid w:val="00C70284"/>
    <w:rsid w:val="00D247F7"/>
    <w:rsid w:val="00E005FB"/>
    <w:rsid w:val="00E202AC"/>
    <w:rsid w:val="00F3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005FB"/>
    <w:rPr>
      <w:color w:val="808080"/>
    </w:rPr>
  </w:style>
  <w:style w:type="paragraph" w:customStyle="1" w:styleId="CF3850B6BEEE4E6DA1B7C73FE2F585BE">
    <w:name w:val="CF3850B6BEEE4E6DA1B7C73FE2F585BE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FF7DFBBBE4B299DA7241B58603848">
    <w:name w:val="D98FF7DFBBBE4B299DA7241B58603848"/>
    <w:rsid w:val="00E005FB"/>
  </w:style>
  <w:style w:type="paragraph" w:customStyle="1" w:styleId="2B7B11E6A8054F6DBAF2FD06DEC5C0D3">
    <w:name w:val="2B7B11E6A8054F6DBAF2FD06DEC5C0D3"/>
    <w:rsid w:val="00E005FB"/>
  </w:style>
  <w:style w:type="paragraph" w:customStyle="1" w:styleId="42010B907F394177AFEA2AFC111D007E">
    <w:name w:val="42010B907F394177AFEA2AFC111D007E"/>
    <w:rsid w:val="00E005FB"/>
  </w:style>
  <w:style w:type="paragraph" w:customStyle="1" w:styleId="8257DF1904AD4BB0BB99B9DCD267B3AB">
    <w:name w:val="8257DF1904AD4BB0BB99B9DCD267B3AB"/>
    <w:rsid w:val="00E005FB"/>
  </w:style>
  <w:style w:type="paragraph" w:customStyle="1" w:styleId="F6473940ABA048ADA69DD4F28DB64A00">
    <w:name w:val="F6473940ABA048ADA69DD4F28DB64A00"/>
    <w:rsid w:val="00E005FB"/>
  </w:style>
  <w:style w:type="paragraph" w:customStyle="1" w:styleId="2B7B11E6A8054F6DBAF2FD06DEC5C0D31">
    <w:name w:val="2B7B11E6A8054F6DBAF2FD06DEC5C0D3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73940ABA048ADA69DD4F28DB64A001">
    <w:name w:val="F6473940ABA048ADA69DD4F28DB64A00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50B6BEEE4E6DA1B7C73FE2F585BE1">
    <w:name w:val="CF3850B6BEEE4E6DA1B7C73FE2F585BE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E883334A480FB8A1102BCA9FC444">
    <w:name w:val="7364E883334A480FB8A1102BCA9FC44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8119AF36941679A8641722EFC91E9">
    <w:name w:val="5F08119AF36941679A8641722EFC91E9"/>
    <w:rsid w:val="00E005FB"/>
  </w:style>
  <w:style w:type="paragraph" w:customStyle="1" w:styleId="15B38239A4574E63A6F9D0C306E77A1C">
    <w:name w:val="15B38239A4574E63A6F9D0C306E77A1C"/>
    <w:rsid w:val="00E005FB"/>
  </w:style>
  <w:style w:type="paragraph" w:customStyle="1" w:styleId="2B7B11E6A8054F6DBAF2FD06DEC5C0D32">
    <w:name w:val="2B7B11E6A8054F6DBAF2FD06DEC5C0D32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73940ABA048ADA69DD4F28DB64A002">
    <w:name w:val="F6473940ABA048ADA69DD4F28DB64A002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50B6BEEE4E6DA1B7C73FE2F585BE2">
    <w:name w:val="CF3850B6BEEE4E6DA1B7C73FE2F585BE2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E883334A480FB8A1102BCA9FC4441">
    <w:name w:val="7364E883334A480FB8A1102BCA9FC444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721D7511A4067A0C102E2C1A5D50B">
    <w:name w:val="57F721D7511A4067A0C102E2C1A5D50B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11E6A8054F6DBAF2FD06DEC5C0D33">
    <w:name w:val="2B7B11E6A8054F6DBAF2FD06DEC5C0D33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73940ABA048ADA69DD4F28DB64A003">
    <w:name w:val="F6473940ABA048ADA69DD4F28DB64A003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50B6BEEE4E6DA1B7C73FE2F585BE3">
    <w:name w:val="CF3850B6BEEE4E6DA1B7C73FE2F585BE3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E883334A480FB8A1102BCA9FC4442">
    <w:name w:val="7364E883334A480FB8A1102BCA9FC4442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721D7511A4067A0C102E2C1A5D50B1">
    <w:name w:val="57F721D7511A4067A0C102E2C1A5D50B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11E6A8054F6DBAF2FD06DEC5C0D34">
    <w:name w:val="2B7B11E6A8054F6DBAF2FD06DEC5C0D3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73940ABA048ADA69DD4F28DB64A004">
    <w:name w:val="F6473940ABA048ADA69DD4F28DB64A00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50B6BEEE4E6DA1B7C73FE2F585BE4">
    <w:name w:val="CF3850B6BEEE4E6DA1B7C73FE2F585BE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E883334A480FB8A1102BCA9FC4443">
    <w:name w:val="7364E883334A480FB8A1102BCA9FC4443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1_llapot xmlns="61badf4c-b4a4-41e1-bb24-4247ef8e01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07264B298AF5458EEDC87F138804E0" ma:contentTypeVersion="5" ma:contentTypeDescription="Új dokumentum létrehozása." ma:contentTypeScope="" ma:versionID="4fde32ccfb57c2cfc1c091d4b8850948">
  <xsd:schema xmlns:xsd="http://www.w3.org/2001/XMLSchema" xmlns:xs="http://www.w3.org/2001/XMLSchema" xmlns:p="http://schemas.microsoft.com/office/2006/metadata/properties" xmlns:ns2="61badf4c-b4a4-41e1-bb24-4247ef8e01bb" targetNamespace="http://schemas.microsoft.com/office/2006/metadata/properties" ma:root="true" ma:fieldsID="798f9111bc99c127ef8489d2238c7dee" ns2:_="">
    <xsd:import namespace="61badf4c-b4a4-41e1-bb24-4247ef8e0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00c1_llap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adf4c-b4a4-41e1-bb24-4247ef8e0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c1_llapot" ma:index="12" nillable="true" ma:displayName="Állapot" ma:format="Dropdown" ma:internalName="_x00c1_llapo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E1262-DF7F-4201-9442-4C5FDD327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15CEE-E4A9-43B8-9F29-CBC39F40CDD1}">
  <ds:schemaRefs>
    <ds:schemaRef ds:uri="http://schemas.microsoft.com/office/2006/metadata/properties"/>
    <ds:schemaRef ds:uri="http://schemas.microsoft.com/office/infopath/2007/PartnerControls"/>
    <ds:schemaRef ds:uri="61badf4c-b4a4-41e1-bb24-4247ef8e01bb"/>
  </ds:schemaRefs>
</ds:datastoreItem>
</file>

<file path=customXml/itemProps3.xml><?xml version="1.0" encoding="utf-8"?>
<ds:datastoreItem xmlns:ds="http://schemas.openxmlformats.org/officeDocument/2006/customXml" ds:itemID="{443DFF43-AB58-44CA-926B-0D5CF16B0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adf4c-b4a4-41e1-bb24-4247ef8e0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744FAB-13D9-4B9D-AF8F-E60AD8A8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808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Zaránd Szilvia</dc:creator>
  <cp:keywords/>
  <dc:description/>
  <cp:lastModifiedBy>Kinga Manuéla Berta</cp:lastModifiedBy>
  <cp:revision>6</cp:revision>
  <dcterms:created xsi:type="dcterms:W3CDTF">2024-11-19T09:32:00Z</dcterms:created>
  <dcterms:modified xsi:type="dcterms:W3CDTF">2025-02-18T13:27:00Z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0x0101004707264B298AF5458EEDC87F138804E0</vt:lpwstr>
  </property>
</Properties>
</file>