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0F748" w14:textId="77777777" w:rsidR="00C65DEF" w:rsidRDefault="00C65DEF"/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850"/>
        <w:gridCol w:w="676"/>
        <w:gridCol w:w="138"/>
        <w:gridCol w:w="137"/>
        <w:gridCol w:w="136"/>
        <w:gridCol w:w="946"/>
        <w:gridCol w:w="53"/>
        <w:gridCol w:w="355"/>
        <w:gridCol w:w="1362"/>
        <w:gridCol w:w="410"/>
        <w:gridCol w:w="252"/>
        <w:gridCol w:w="270"/>
        <w:gridCol w:w="1208"/>
        <w:gridCol w:w="1428"/>
      </w:tblGrid>
      <w:tr w:rsidR="00AA4361" w:rsidRPr="005A76D6" w14:paraId="2D0FFE60" w14:textId="77777777" w:rsidTr="00CA79A8">
        <w:trPr>
          <w:cantSplit/>
        </w:trPr>
        <w:tc>
          <w:tcPr>
            <w:tcW w:w="3204" w:type="dxa"/>
            <w:gridSpan w:val="5"/>
            <w:tcBorders>
              <w:top w:val="single" w:sz="12" w:space="0" w:color="auto"/>
            </w:tcBorders>
            <w:shd w:val="clear" w:color="auto" w:fill="BDD6EE" w:themeFill="accent1" w:themeFillTint="66"/>
          </w:tcPr>
          <w:p w14:paraId="4390BCBA" w14:textId="77777777" w:rsidR="00AA4361" w:rsidRPr="005A76D6" w:rsidRDefault="00AA4361" w:rsidP="00D016EC">
            <w:pPr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  <w:b/>
                <w:bCs/>
              </w:rPr>
              <w:t>A tantárgy neve:</w:t>
            </w:r>
            <w:r w:rsidRPr="005A76D6">
              <w:rPr>
                <w:rFonts w:ascii="IBM Plex Serif" w:hAnsi="IBM Plex Serif"/>
              </w:rPr>
              <w:t xml:space="preserve"> </w:t>
            </w:r>
          </w:p>
        </w:tc>
        <w:tc>
          <w:tcPr>
            <w:tcW w:w="6420" w:type="dxa"/>
            <w:gridSpan w:val="10"/>
            <w:tcBorders>
              <w:top w:val="single" w:sz="12" w:space="0" w:color="auto"/>
            </w:tcBorders>
          </w:tcPr>
          <w:p w14:paraId="22A4F321" w14:textId="000A978A" w:rsidR="00AA4361" w:rsidRPr="005A76D6" w:rsidRDefault="009406AC" w:rsidP="00D016EC">
            <w:pPr>
              <w:rPr>
                <w:rFonts w:ascii="IBM Plex Serif" w:hAnsi="IBM Plex Serif"/>
              </w:rPr>
            </w:pPr>
            <w:r w:rsidRPr="009406AC">
              <w:rPr>
                <w:rFonts w:ascii="IBM Plex Serif" w:hAnsi="IBM Plex Serif"/>
              </w:rPr>
              <w:t>Rekultiváció és kármentesítés</w:t>
            </w:r>
          </w:p>
        </w:tc>
      </w:tr>
      <w:tr w:rsidR="00AA4361" w:rsidRPr="005A76D6" w14:paraId="368DB263" w14:textId="77777777" w:rsidTr="00CA79A8">
        <w:trPr>
          <w:cantSplit/>
        </w:trPr>
        <w:tc>
          <w:tcPr>
            <w:tcW w:w="3204" w:type="dxa"/>
            <w:gridSpan w:val="5"/>
            <w:shd w:val="clear" w:color="auto" w:fill="BDD6EE" w:themeFill="accent1" w:themeFillTint="66"/>
          </w:tcPr>
          <w:p w14:paraId="599E63FE" w14:textId="77777777" w:rsidR="00AA4361" w:rsidRPr="005A76D6" w:rsidRDefault="00AA4361" w:rsidP="00202476">
            <w:pPr>
              <w:rPr>
                <w:rFonts w:ascii="IBM Plex Serif" w:hAnsi="IBM Plex Serif"/>
                <w:b/>
                <w:bCs/>
                <w:highlight w:val="yellow"/>
              </w:rPr>
            </w:pPr>
            <w:r w:rsidRPr="005A76D6">
              <w:rPr>
                <w:rFonts w:ascii="IBM Plex Serif" w:hAnsi="IBM Plex Serif"/>
                <w:b/>
                <w:bCs/>
              </w:rPr>
              <w:t xml:space="preserve">A tantárgy neve angolul: </w:t>
            </w:r>
          </w:p>
        </w:tc>
        <w:tc>
          <w:tcPr>
            <w:tcW w:w="6420" w:type="dxa"/>
            <w:gridSpan w:val="10"/>
          </w:tcPr>
          <w:p w14:paraId="2C6EED2D" w14:textId="0DB5988F" w:rsidR="00AA4361" w:rsidRPr="005A76D6" w:rsidRDefault="00C65DEF" w:rsidP="00202476">
            <w:pPr>
              <w:rPr>
                <w:rFonts w:ascii="IBM Plex Serif" w:hAnsi="IBM Plex Serif"/>
              </w:rPr>
            </w:pPr>
            <w:proofErr w:type="spellStart"/>
            <w:r>
              <w:rPr>
                <w:rFonts w:ascii="IBM Plex Serif" w:hAnsi="IBM Plex Serif"/>
              </w:rPr>
              <w:t>Reclamation</w:t>
            </w:r>
            <w:proofErr w:type="spellEnd"/>
            <w:r w:rsidR="009406AC">
              <w:rPr>
                <w:rFonts w:ascii="IBM Plex Serif" w:hAnsi="IBM Plex Serif"/>
              </w:rPr>
              <w:t xml:space="preserve"> and </w:t>
            </w:r>
            <w:proofErr w:type="spellStart"/>
            <w:r w:rsidR="009406AC">
              <w:rPr>
                <w:rFonts w:ascii="IBM Plex Serif" w:hAnsi="IBM Plex Serif"/>
              </w:rPr>
              <w:t>remediation</w:t>
            </w:r>
            <w:proofErr w:type="spellEnd"/>
          </w:p>
        </w:tc>
      </w:tr>
      <w:tr w:rsidR="00AA4361" w:rsidRPr="005A76D6" w14:paraId="545C9CA9" w14:textId="77777777" w:rsidTr="00CA79A8">
        <w:trPr>
          <w:cantSplit/>
          <w:trHeight w:val="388"/>
        </w:trPr>
        <w:tc>
          <w:tcPr>
            <w:tcW w:w="4286" w:type="dxa"/>
            <w:gridSpan w:val="7"/>
            <w:shd w:val="clear" w:color="auto" w:fill="BDD6EE" w:themeFill="accent1" w:themeFillTint="66"/>
          </w:tcPr>
          <w:p w14:paraId="75014E0A" w14:textId="77777777" w:rsidR="00AA4361" w:rsidRPr="005A76D6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Kötelező előtanulmány(ok) kódja(i)</w:t>
            </w:r>
            <w:r w:rsidR="007D3E9C" w:rsidRPr="005A76D6">
              <w:rPr>
                <w:rFonts w:ascii="IBM Plex Serif" w:hAnsi="IBM Plex Serif"/>
                <w:b/>
                <w:bCs/>
                <w:vertAlign w:val="superscript"/>
              </w:rPr>
              <w:t>1</w:t>
            </w:r>
            <w:r w:rsidRPr="005A76D6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2702" w:type="dxa"/>
            <w:gridSpan w:val="6"/>
            <w:vMerge w:val="restart"/>
            <w:shd w:val="clear" w:color="auto" w:fill="BDD6EE" w:themeFill="accent1" w:themeFillTint="66"/>
          </w:tcPr>
          <w:p w14:paraId="4E1BB9D0" w14:textId="77777777" w:rsidR="00AA4361" w:rsidRPr="005A76D6" w:rsidRDefault="00AA4361" w:rsidP="00202476">
            <w:pPr>
              <w:rPr>
                <w:rFonts w:ascii="IBM Plex Serif" w:hAnsi="IBM Plex Serif"/>
                <w:b/>
              </w:rPr>
            </w:pPr>
            <w:r w:rsidRPr="005A76D6">
              <w:rPr>
                <w:rFonts w:ascii="IBM Plex Serif" w:hAnsi="IBM Plex Serif"/>
                <w:b/>
              </w:rPr>
              <w:t xml:space="preserve">Tantárgy típusa (elsődleges tanterven): </w:t>
            </w:r>
          </w:p>
        </w:tc>
        <w:sdt>
          <w:sdtPr>
            <w:rPr>
              <w:rFonts w:ascii="IBM Plex Serif" w:hAnsi="IBM Plex Serif"/>
            </w:rPr>
            <w:id w:val="1512411294"/>
            <w:lock w:val="sdtLocked"/>
            <w:placeholder>
              <w:docPart w:val="2B7B11E6A8054F6DBAF2FD06DEC5C0D3"/>
            </w:placeholder>
            <w:dropDownList>
              <w:listItem w:value="Jelöljön ki egy elemet."/>
              <w:listItem w:displayText="Kötelező" w:value="Kötelező"/>
              <w:listItem w:displayText="Kötelezően választható" w:value="Kötelezően választható"/>
              <w:listItem w:displayText="Szabadon választható " w:value="Szabadon választható "/>
            </w:dropDownList>
          </w:sdtPr>
          <w:sdtEndPr/>
          <w:sdtContent>
            <w:tc>
              <w:tcPr>
                <w:tcW w:w="2636" w:type="dxa"/>
                <w:gridSpan w:val="2"/>
                <w:vMerge w:val="restart"/>
              </w:tcPr>
              <w:p w14:paraId="18B434DC" w14:textId="77777777" w:rsidR="00AA4361" w:rsidRPr="005A76D6" w:rsidRDefault="00007183" w:rsidP="00202476">
                <w:pPr>
                  <w:rPr>
                    <w:rFonts w:ascii="IBM Plex Serif" w:hAnsi="IBM Plex Serif"/>
                  </w:rPr>
                </w:pPr>
                <w:r w:rsidRPr="005A76D6">
                  <w:rPr>
                    <w:rFonts w:ascii="IBM Plex Serif" w:hAnsi="IBM Plex Serif"/>
                  </w:rPr>
                  <w:t>Kötelező</w:t>
                </w:r>
              </w:p>
            </w:tc>
          </w:sdtContent>
        </w:sdt>
      </w:tr>
      <w:tr w:rsidR="00AA4361" w:rsidRPr="005A76D6" w14:paraId="02921307" w14:textId="77777777" w:rsidTr="00CA79A8">
        <w:trPr>
          <w:cantSplit/>
          <w:trHeight w:val="408"/>
        </w:trPr>
        <w:tc>
          <w:tcPr>
            <w:tcW w:w="4286" w:type="dxa"/>
            <w:gridSpan w:val="7"/>
          </w:tcPr>
          <w:p w14:paraId="7FF2D6D5" w14:textId="77777777" w:rsidR="00AA4361" w:rsidRPr="005A76D6" w:rsidRDefault="00AA4361" w:rsidP="00202476">
            <w:pPr>
              <w:rPr>
                <w:rFonts w:ascii="IBM Plex Serif" w:hAnsi="IBM Plex Serif"/>
                <w:b/>
                <w:bCs/>
              </w:rPr>
            </w:pPr>
          </w:p>
        </w:tc>
        <w:tc>
          <w:tcPr>
            <w:tcW w:w="2702" w:type="dxa"/>
            <w:gridSpan w:val="6"/>
            <w:vMerge/>
            <w:shd w:val="clear" w:color="auto" w:fill="BDD6EE" w:themeFill="accent1" w:themeFillTint="66"/>
          </w:tcPr>
          <w:p w14:paraId="2228A89C" w14:textId="77777777" w:rsidR="00AA4361" w:rsidRPr="005A76D6" w:rsidRDefault="00AA4361" w:rsidP="00202476">
            <w:pPr>
              <w:rPr>
                <w:rFonts w:ascii="IBM Plex Serif" w:hAnsi="IBM Plex Serif"/>
                <w:b/>
              </w:rPr>
            </w:pPr>
          </w:p>
        </w:tc>
        <w:tc>
          <w:tcPr>
            <w:tcW w:w="2636" w:type="dxa"/>
            <w:gridSpan w:val="2"/>
            <w:vMerge/>
          </w:tcPr>
          <w:p w14:paraId="0CD92CA3" w14:textId="77777777" w:rsidR="00AA4361" w:rsidRPr="005A76D6" w:rsidRDefault="00AA4361" w:rsidP="00202476">
            <w:pPr>
              <w:rPr>
                <w:rFonts w:ascii="IBM Plex Serif" w:hAnsi="IBM Plex Serif"/>
              </w:rPr>
            </w:pPr>
          </w:p>
        </w:tc>
      </w:tr>
      <w:tr w:rsidR="00AA4361" w:rsidRPr="005A76D6" w14:paraId="51E0BFE7" w14:textId="77777777" w:rsidTr="00CA79A8">
        <w:trPr>
          <w:cantSplit/>
          <w:trHeight w:val="345"/>
        </w:trPr>
        <w:tc>
          <w:tcPr>
            <w:tcW w:w="4694" w:type="dxa"/>
            <w:gridSpan w:val="9"/>
            <w:shd w:val="clear" w:color="auto" w:fill="BDD6EE" w:themeFill="accent1" w:themeFillTint="66"/>
          </w:tcPr>
          <w:p w14:paraId="38F0B4A8" w14:textId="77777777" w:rsidR="00AA4361" w:rsidRPr="005A76D6" w:rsidRDefault="00AA4361" w:rsidP="007D3E9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Tantárgyfelelős oktató neve</w:t>
            </w:r>
            <w:r w:rsidR="007D3E9C" w:rsidRPr="005A76D6">
              <w:rPr>
                <w:rFonts w:ascii="IBM Plex Serif" w:hAnsi="IBM Plex Serif"/>
                <w:b/>
                <w:bCs/>
                <w:vertAlign w:val="superscript"/>
              </w:rPr>
              <w:t>2</w:t>
            </w:r>
            <w:r w:rsidRPr="005A76D6">
              <w:rPr>
                <w:rFonts w:ascii="IBM Plex Serif" w:hAnsi="IBM Plex Serif"/>
                <w:b/>
                <w:bCs/>
              </w:rPr>
              <w:t xml:space="preserve">: </w:t>
            </w:r>
          </w:p>
        </w:tc>
        <w:tc>
          <w:tcPr>
            <w:tcW w:w="4930" w:type="dxa"/>
            <w:gridSpan w:val="6"/>
            <w:shd w:val="clear" w:color="auto" w:fill="BDD6EE" w:themeFill="accent1" w:themeFillTint="66"/>
          </w:tcPr>
          <w:p w14:paraId="054F64F5" w14:textId="77777777" w:rsidR="00AA4361" w:rsidRPr="005A76D6" w:rsidRDefault="00AA4361" w:rsidP="007D3E9C">
            <w:pPr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  <w:b/>
                <w:bCs/>
              </w:rPr>
              <w:t>Tárgyfelelős egység neve</w:t>
            </w:r>
            <w:r w:rsidR="007D3E9C" w:rsidRPr="005A76D6">
              <w:rPr>
                <w:rStyle w:val="Lbjegyzet-hivatkozs"/>
                <w:rFonts w:ascii="IBM Plex Serif" w:hAnsi="IBM Plex Serif"/>
                <w:b/>
                <w:bCs/>
              </w:rPr>
              <w:t>3</w:t>
            </w:r>
            <w:r w:rsidRPr="005A76D6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AA4361" w:rsidRPr="005A76D6" w14:paraId="78434A20" w14:textId="77777777" w:rsidTr="00CA79A8">
        <w:trPr>
          <w:cantSplit/>
          <w:trHeight w:val="345"/>
        </w:trPr>
        <w:tc>
          <w:tcPr>
            <w:tcW w:w="4694" w:type="dxa"/>
            <w:gridSpan w:val="9"/>
          </w:tcPr>
          <w:p w14:paraId="362EE3E6" w14:textId="586E629A" w:rsidR="00AA4361" w:rsidRPr="005A76D6" w:rsidRDefault="009406AC" w:rsidP="00C04760">
            <w:pPr>
              <w:rPr>
                <w:rFonts w:ascii="IBM Plex Serif" w:hAnsi="IBM Plex Serif"/>
                <w:b/>
                <w:bCs/>
              </w:rPr>
            </w:pPr>
            <w:r w:rsidRPr="00E66932">
              <w:rPr>
                <w:rFonts w:ascii="IBM Plex Serif" w:hAnsi="IBM Plex Serif"/>
                <w:b/>
                <w:bCs/>
              </w:rPr>
              <w:t>Dr. Kurdi Róbert</w:t>
            </w:r>
            <w:r w:rsidR="001D55E9" w:rsidRPr="00A8575B">
              <w:rPr>
                <w:rFonts w:ascii="IBM Plex Serif" w:hAnsi="IBM Plex Serif"/>
                <w:b/>
                <w:bCs/>
              </w:rPr>
              <w:t xml:space="preserve">  </w:t>
            </w:r>
          </w:p>
        </w:tc>
        <w:tc>
          <w:tcPr>
            <w:tcW w:w="4930" w:type="dxa"/>
            <w:gridSpan w:val="6"/>
            <w:shd w:val="clear" w:color="auto" w:fill="FFFFFF" w:themeFill="background1"/>
          </w:tcPr>
          <w:p w14:paraId="3FE9C65F" w14:textId="77777777" w:rsidR="001D55E9" w:rsidRPr="001D55E9" w:rsidRDefault="001D55E9" w:rsidP="001D55E9">
            <w:pPr>
              <w:rPr>
                <w:rFonts w:ascii="IBM Plex Serif" w:hAnsi="IBM Plex Serif"/>
                <w:b/>
                <w:bCs/>
              </w:rPr>
            </w:pPr>
            <w:r w:rsidRPr="001D55E9">
              <w:rPr>
                <w:rFonts w:ascii="IBM Plex Serif" w:hAnsi="IBM Plex Serif"/>
                <w:b/>
                <w:bCs/>
              </w:rPr>
              <w:t>Természettudományi Központ,</w:t>
            </w:r>
          </w:p>
          <w:p w14:paraId="066BFFDC" w14:textId="77777777" w:rsidR="00AA4361" w:rsidRPr="005A76D6" w:rsidRDefault="001D55E9" w:rsidP="001D55E9">
            <w:pPr>
              <w:rPr>
                <w:rFonts w:ascii="IBM Plex Serif" w:hAnsi="IBM Plex Serif"/>
                <w:b/>
                <w:bCs/>
              </w:rPr>
            </w:pPr>
            <w:r w:rsidRPr="001D55E9">
              <w:rPr>
                <w:rFonts w:ascii="IBM Plex Serif" w:hAnsi="IBM Plex Serif"/>
                <w:b/>
                <w:bCs/>
              </w:rPr>
              <w:t>Mérnöki Kar</w:t>
            </w:r>
          </w:p>
        </w:tc>
      </w:tr>
      <w:tr w:rsidR="00AA4361" w:rsidRPr="005A76D6" w14:paraId="308D9C07" w14:textId="77777777" w:rsidTr="00CA79A8">
        <w:trPr>
          <w:cantSplit/>
          <w:trHeight w:val="409"/>
        </w:trPr>
        <w:tc>
          <w:tcPr>
            <w:tcW w:w="2253" w:type="dxa"/>
            <w:gridSpan w:val="2"/>
            <w:shd w:val="clear" w:color="auto" w:fill="BDD6EE" w:themeFill="accent1" w:themeFillTint="66"/>
          </w:tcPr>
          <w:p w14:paraId="487F9819" w14:textId="77777777" w:rsidR="00AA4361" w:rsidRPr="005A76D6" w:rsidRDefault="00AA4361" w:rsidP="001C0924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Az oktatás féléve:</w:t>
            </w:r>
          </w:p>
        </w:tc>
        <w:tc>
          <w:tcPr>
            <w:tcW w:w="676" w:type="dxa"/>
            <w:shd w:val="clear" w:color="auto" w:fill="BDD6EE" w:themeFill="accent1" w:themeFillTint="66"/>
          </w:tcPr>
          <w:p w14:paraId="61FAD544" w14:textId="77777777" w:rsidR="00AA4361" w:rsidRPr="005A76D6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őszi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104853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dxa"/>
                <w:gridSpan w:val="3"/>
              </w:tcPr>
              <w:p w14:paraId="6ED477E7" w14:textId="77777777" w:rsidR="00AA4361" w:rsidRPr="005A76D6" w:rsidRDefault="006D0EF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5A76D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99" w:type="dxa"/>
            <w:gridSpan w:val="2"/>
            <w:shd w:val="clear" w:color="auto" w:fill="BDD6EE" w:themeFill="accent1" w:themeFillTint="66"/>
          </w:tcPr>
          <w:p w14:paraId="6808CFD4" w14:textId="77777777" w:rsidR="00AA4361" w:rsidRPr="005A76D6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tavaszi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85079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</w:tcPr>
              <w:p w14:paraId="3519DC0C" w14:textId="77777777" w:rsidR="00AA4361" w:rsidRPr="005A76D6" w:rsidRDefault="00C0476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5A76D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362" w:type="dxa"/>
            <w:shd w:val="clear" w:color="auto" w:fill="BDD6EE" w:themeFill="accent1" w:themeFillTint="66"/>
          </w:tcPr>
          <w:p w14:paraId="3C1B7EA5" w14:textId="77777777" w:rsidR="00AA4361" w:rsidRPr="005A76D6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mindkettő</w:t>
            </w:r>
          </w:p>
        </w:tc>
        <w:sdt>
          <w:sdtPr>
            <w:rPr>
              <w:rFonts w:ascii="IBM Plex Serif" w:hAnsi="IBM Plex Serif"/>
              <w:b/>
              <w:bCs/>
            </w:rPr>
            <w:id w:val="-790827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0" w:type="dxa"/>
              </w:tcPr>
              <w:p w14:paraId="05D641F5" w14:textId="77777777" w:rsidR="00AA4361" w:rsidRPr="005A76D6" w:rsidRDefault="00C04760" w:rsidP="00202476">
                <w:pPr>
                  <w:rPr>
                    <w:rFonts w:ascii="IBM Plex Serif" w:hAnsi="IBM Plex Serif"/>
                    <w:b/>
                    <w:bCs/>
                  </w:rPr>
                </w:pPr>
                <w:r w:rsidRPr="005A76D6">
                  <w:rPr>
                    <w:rFonts w:ascii="Segoe UI Symbol" w:eastAsia="MS Gothic" w:hAnsi="Segoe UI Symbol" w:cs="Segoe UI Symbol"/>
                    <w:b/>
                    <w:bCs/>
                  </w:rPr>
                  <w:t>☒</w:t>
                </w:r>
              </w:p>
            </w:tc>
          </w:sdtContent>
        </w:sdt>
        <w:tc>
          <w:tcPr>
            <w:tcW w:w="1730" w:type="dxa"/>
            <w:gridSpan w:val="3"/>
            <w:shd w:val="clear" w:color="auto" w:fill="BDD6EE" w:themeFill="accent1" w:themeFillTint="66"/>
          </w:tcPr>
          <w:p w14:paraId="07AD0875" w14:textId="77777777" w:rsidR="00AA4361" w:rsidRPr="005A76D6" w:rsidRDefault="00AA4361" w:rsidP="00202476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Kreditértéke:</w:t>
            </w:r>
          </w:p>
        </w:tc>
        <w:tc>
          <w:tcPr>
            <w:tcW w:w="1428" w:type="dxa"/>
          </w:tcPr>
          <w:p w14:paraId="142A29AD" w14:textId="77777777" w:rsidR="00AA4361" w:rsidRPr="005A76D6" w:rsidRDefault="00C403F2" w:rsidP="00202476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3</w:t>
            </w:r>
          </w:p>
        </w:tc>
      </w:tr>
      <w:tr w:rsidR="00105117" w:rsidRPr="005A76D6" w14:paraId="4DBE65EA" w14:textId="77777777" w:rsidTr="00CA79A8">
        <w:trPr>
          <w:cantSplit/>
          <w:trHeight w:val="41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A78BA3" w14:textId="77777777" w:rsidR="000214FF" w:rsidRPr="005A76D6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Óraigény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DA4D6EB" w14:textId="77777777" w:rsidR="000214FF" w:rsidRPr="005A76D6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e.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7D59BAA" w14:textId="77777777" w:rsidR="000214FF" w:rsidRPr="005A76D6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szem.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C17544" w14:textId="77777777" w:rsidR="000214FF" w:rsidRPr="005A76D6" w:rsidRDefault="000214FF" w:rsidP="000214FF">
            <w:pPr>
              <w:rPr>
                <w:rFonts w:ascii="IBM Plex Serif" w:hAnsi="IBM Plex Serif"/>
                <w:b/>
                <w:bCs/>
              </w:rPr>
            </w:pPr>
            <w:proofErr w:type="spellStart"/>
            <w:r w:rsidRPr="005A76D6">
              <w:rPr>
                <w:rFonts w:ascii="IBM Plex Serif" w:hAnsi="IBM Plex Serif"/>
                <w:b/>
                <w:bCs/>
              </w:rPr>
              <w:t>lab.gyak</w:t>
            </w:r>
            <w:proofErr w:type="spellEnd"/>
            <w:r w:rsidRPr="005A76D6">
              <w:rPr>
                <w:rFonts w:ascii="IBM Plex Serif" w:hAnsi="IBM Plex Serif"/>
                <w:b/>
                <w:bCs/>
              </w:rPr>
              <w:t>.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BC8780" w14:textId="77777777" w:rsidR="000214FF" w:rsidRPr="005A76D6" w:rsidRDefault="000214FF" w:rsidP="007D3E9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Számonkérés formája</w:t>
            </w:r>
            <w:r w:rsidR="007D3E9C" w:rsidRPr="005A76D6">
              <w:rPr>
                <w:rStyle w:val="Lbjegyzet-hivatkozs"/>
                <w:rFonts w:ascii="IBM Plex Serif" w:hAnsi="IBM Plex Serif"/>
                <w:b/>
                <w:bCs/>
              </w:rPr>
              <w:t>4</w:t>
            </w:r>
            <w:r w:rsidR="005E149E" w:rsidRPr="005A76D6">
              <w:rPr>
                <w:rFonts w:ascii="IBM Plex Serif" w:hAnsi="IBM Plex Serif"/>
                <w:b/>
                <w:bCs/>
              </w:rPr>
              <w:t>:</w:t>
            </w:r>
            <w:r w:rsidRPr="005A76D6">
              <w:rPr>
                <w:rFonts w:ascii="IBM Plex Serif" w:hAnsi="IBM Plex Serif"/>
                <w:b/>
                <w:bCs/>
              </w:rPr>
              <w:t xml:space="preserve"> </w:t>
            </w:r>
          </w:p>
        </w:tc>
        <w:sdt>
          <w:sdtPr>
            <w:rPr>
              <w:rFonts w:ascii="IBM Plex Serif" w:hAnsi="IBM Plex Serif"/>
              <w:b/>
              <w:bCs/>
              <w:sz w:val="22"/>
              <w:szCs w:val="22"/>
            </w:rPr>
            <w:id w:val="-1870829293"/>
            <w:lock w:val="sdtLocked"/>
            <w:placeholder>
              <w:docPart w:val="CF3850B6BEEE4E6DA1B7C73FE2F585BE"/>
            </w:placeholder>
            <w:dropDownList>
              <w:listItem w:value="Jelöljön ki egy elemet."/>
              <w:listItem w:displayText="Folyamatos számonkérés (F)" w:value="Folyamatos számonkérés (F)"/>
              <w:listItem w:displayText="Félévközi jegy (É)" w:value="Félévközi jegy (É)"/>
              <w:listItem w:displayText="Kollokvium (K)" w:value="Kollokvium (K)"/>
              <w:listItem w:displayText="Vizsga (V)" w:value="Vizsga (V)"/>
              <w:listItem w:displayText="Aláírás megszerzése (A)" w:value="Aláírás megszerzése (A)"/>
            </w:dropDownList>
          </w:sdtPr>
          <w:sdtEndPr/>
          <w:sdtContent>
            <w:tc>
              <w:tcPr>
                <w:tcW w:w="2906" w:type="dxa"/>
                <w:gridSpan w:val="3"/>
                <w:shd w:val="clear" w:color="auto" w:fill="FFFFFF" w:themeFill="background1"/>
              </w:tcPr>
              <w:p w14:paraId="7BA6EC26" w14:textId="77777777" w:rsidR="000214FF" w:rsidRPr="005A76D6" w:rsidRDefault="00C403F2" w:rsidP="000214FF">
                <w:pPr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</w:pPr>
                <w:r w:rsidRPr="005A76D6">
                  <w:rPr>
                    <w:rFonts w:ascii="IBM Plex Serif" w:hAnsi="IBM Plex Serif"/>
                    <w:b/>
                    <w:bCs/>
                    <w:sz w:val="22"/>
                    <w:szCs w:val="22"/>
                  </w:rPr>
                  <w:t>Vizsga (V)</w:t>
                </w:r>
              </w:p>
            </w:tc>
          </w:sdtContent>
        </w:sdt>
      </w:tr>
      <w:tr w:rsidR="00AA4361" w:rsidRPr="005A76D6" w14:paraId="00361E2F" w14:textId="77777777" w:rsidTr="00D37B6E">
        <w:trPr>
          <w:cantSplit/>
          <w:trHeight w:val="556"/>
        </w:trPr>
        <w:tc>
          <w:tcPr>
            <w:tcW w:w="1403" w:type="dxa"/>
            <w:shd w:val="clear" w:color="auto" w:fill="BDD6EE" w:themeFill="accent1" w:themeFillTint="66"/>
          </w:tcPr>
          <w:p w14:paraId="1C58A271" w14:textId="77777777" w:rsidR="000214FF" w:rsidRPr="005A76D6" w:rsidRDefault="000214FF" w:rsidP="007D3E9C">
            <w:pPr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Nappali (óra/hét)</w:t>
            </w:r>
            <w:r w:rsidR="007D3E9C" w:rsidRPr="005A76D6">
              <w:rPr>
                <w:rStyle w:val="Lbjegyzet-hivatkozs"/>
                <w:rFonts w:ascii="IBM Plex Serif" w:hAnsi="IBM Plex Serif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E9185A1" w14:textId="77777777" w:rsidR="000214FF" w:rsidRPr="005A76D6" w:rsidRDefault="000214FF" w:rsidP="00C403F2">
            <w:pPr>
              <w:rPr>
                <w:rFonts w:ascii="IBM Plex Serif" w:hAnsi="IBM Plex Serif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5FC060AE" w14:textId="6A3183FA" w:rsidR="000214FF" w:rsidRPr="005A76D6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1272" w:type="dxa"/>
            <w:gridSpan w:val="4"/>
          </w:tcPr>
          <w:p w14:paraId="7249E254" w14:textId="77777777" w:rsidR="000214FF" w:rsidRPr="005A76D6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77C98AB" w14:textId="77777777" w:rsidR="000214FF" w:rsidRPr="005A76D6" w:rsidRDefault="000214FF" w:rsidP="000214FF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Értékelés típusa:</w:t>
            </w:r>
          </w:p>
        </w:tc>
        <w:sdt>
          <w:sdtPr>
            <w:rPr>
              <w:rFonts w:ascii="IBM Plex Serif" w:hAnsi="IBM Plex Serif"/>
            </w:rPr>
            <w:id w:val="495083543"/>
            <w:lock w:val="sdtLocked"/>
            <w:placeholder>
              <w:docPart w:val="7364E883334A480FB8A1102BCA9FC444"/>
            </w:placeholder>
            <w:dropDownList>
              <w:listItem w:value="Jelöljön ki egy elemet."/>
              <w:listItem w:displayText="ötfokozatú" w:value="ötfokozatú"/>
              <w:listItem w:displayText="háromfokozatú" w:value="háromfokozatú"/>
              <w:listItem w:displayText="kétfokozatú" w:value="kétfokozatú"/>
            </w:dropDownList>
          </w:sdtPr>
          <w:sdtEndPr/>
          <w:sdtContent>
            <w:tc>
              <w:tcPr>
                <w:tcW w:w="2906" w:type="dxa"/>
                <w:gridSpan w:val="3"/>
              </w:tcPr>
              <w:p w14:paraId="21F99E2E" w14:textId="77777777" w:rsidR="000214FF" w:rsidRPr="005A76D6" w:rsidRDefault="00833E86" w:rsidP="000214FF">
                <w:pPr>
                  <w:rPr>
                    <w:rFonts w:ascii="IBM Plex Serif" w:hAnsi="IBM Plex Serif"/>
                  </w:rPr>
                </w:pPr>
                <w:r w:rsidRPr="005A76D6">
                  <w:rPr>
                    <w:rFonts w:ascii="IBM Plex Serif" w:hAnsi="IBM Plex Serif"/>
                  </w:rPr>
                  <w:t>ötfokozatú</w:t>
                </w:r>
              </w:p>
            </w:tc>
          </w:sdtContent>
        </w:sdt>
      </w:tr>
      <w:tr w:rsidR="00AA4361" w:rsidRPr="005A76D6" w14:paraId="7B98AC39" w14:textId="77777777" w:rsidTr="00D37B6E">
        <w:trPr>
          <w:cantSplit/>
          <w:trHeight w:val="693"/>
        </w:trPr>
        <w:tc>
          <w:tcPr>
            <w:tcW w:w="1403" w:type="dxa"/>
            <w:shd w:val="clear" w:color="auto" w:fill="BDD6EE" w:themeFill="accent1" w:themeFillTint="66"/>
          </w:tcPr>
          <w:p w14:paraId="3730B1E3" w14:textId="77777777" w:rsidR="000214FF" w:rsidRPr="005A76D6" w:rsidRDefault="000214FF" w:rsidP="007D3E9C">
            <w:pPr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Levelező (óra/félév)</w:t>
            </w:r>
            <w:r w:rsidR="007D3E9C" w:rsidRPr="005A76D6">
              <w:rPr>
                <w:rStyle w:val="Lbjegyzet-hivatkozs"/>
                <w:rFonts w:ascii="IBM Plex Serif" w:hAnsi="IBM Plex Serif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2252FE0" w14:textId="7E09C6EB" w:rsidR="000214FF" w:rsidRPr="009406AC" w:rsidRDefault="0014135C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5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7AA8781" w14:textId="0C29A46B" w:rsidR="000214FF" w:rsidRPr="009406AC" w:rsidRDefault="0014135C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5</w:t>
            </w:r>
          </w:p>
        </w:tc>
        <w:tc>
          <w:tcPr>
            <w:tcW w:w="1272" w:type="dxa"/>
            <w:gridSpan w:val="4"/>
          </w:tcPr>
          <w:p w14:paraId="741D459D" w14:textId="77777777" w:rsidR="000214FF" w:rsidRPr="005A76D6" w:rsidRDefault="000214FF" w:rsidP="000214FF">
            <w:pPr>
              <w:rPr>
                <w:rFonts w:ascii="IBM Plex Serif" w:hAnsi="IBM Plex Serif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048B80" w14:textId="77777777" w:rsidR="000214FF" w:rsidRPr="005A76D6" w:rsidRDefault="000214FF" w:rsidP="007D3E9C">
            <w:pPr>
              <w:jc w:val="left"/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A meghirdetés mintatantervei</w:t>
            </w:r>
            <w:r w:rsidR="007D3E9C" w:rsidRPr="005A76D6">
              <w:rPr>
                <w:rStyle w:val="Lbjegyzet-hivatkozs"/>
                <w:rFonts w:ascii="IBM Plex Serif" w:hAnsi="IBM Plex Serif"/>
                <w:b/>
                <w:bCs/>
              </w:rPr>
              <w:t>7</w:t>
            </w:r>
            <w:r w:rsidRPr="005A76D6">
              <w:rPr>
                <w:rFonts w:ascii="IBM Plex Serif" w:hAnsi="IBM Plex Serif"/>
                <w:b/>
                <w:bCs/>
              </w:rPr>
              <w:t>:</w:t>
            </w:r>
          </w:p>
        </w:tc>
        <w:tc>
          <w:tcPr>
            <w:tcW w:w="2906" w:type="dxa"/>
            <w:gridSpan w:val="3"/>
          </w:tcPr>
          <w:p w14:paraId="236883E5" w14:textId="1222F990" w:rsidR="000214FF" w:rsidRPr="005A76D6" w:rsidRDefault="009406AC" w:rsidP="000214FF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Körforgásos hulladékgazdálkodás szakember / szakmérnök</w:t>
            </w:r>
          </w:p>
        </w:tc>
      </w:tr>
      <w:tr w:rsidR="000214FF" w:rsidRPr="005A76D6" w14:paraId="39F26F0C" w14:textId="77777777" w:rsidTr="00CA79A8">
        <w:trPr>
          <w:cantSplit/>
        </w:trPr>
        <w:tc>
          <w:tcPr>
            <w:tcW w:w="9624" w:type="dxa"/>
            <w:gridSpan w:val="15"/>
            <w:shd w:val="clear" w:color="auto" w:fill="BDD6EE" w:themeFill="accent1" w:themeFillTint="66"/>
          </w:tcPr>
          <w:p w14:paraId="2B140437" w14:textId="77777777" w:rsidR="000214FF" w:rsidRPr="005A76D6" w:rsidRDefault="000214FF" w:rsidP="000214FF">
            <w:pPr>
              <w:jc w:val="center"/>
              <w:rPr>
                <w:rFonts w:ascii="IBM Plex Serif" w:hAnsi="IBM Plex Serif"/>
                <w:b/>
              </w:rPr>
            </w:pPr>
            <w:r w:rsidRPr="005A76D6">
              <w:rPr>
                <w:rFonts w:ascii="IBM Plex Serif" w:hAnsi="IBM Plex Serif"/>
                <w:b/>
                <w:bCs/>
              </w:rPr>
              <w:t>Oktatási cél és a</w:t>
            </w:r>
            <w:r w:rsidRPr="005A76D6">
              <w:rPr>
                <w:rFonts w:ascii="IBM Plex Serif" w:hAnsi="IBM Plex Serif"/>
                <w:b/>
              </w:rPr>
              <w:t>z előírt szakmai kompetenciáknak, kompetencia-elemeknek a felsorolása, amelyek kialakításához a tantárgy jellemzően, érdemben hozzájárul (tudás, képesség, attitűd, auton</w:t>
            </w:r>
            <w:bookmarkStart w:id="0" w:name="_GoBack"/>
            <w:bookmarkEnd w:id="0"/>
            <w:r w:rsidRPr="005A76D6">
              <w:rPr>
                <w:rFonts w:ascii="IBM Plex Serif" w:hAnsi="IBM Plex Serif"/>
                <w:b/>
              </w:rPr>
              <w:t>ómiája és felelőssége)</w:t>
            </w:r>
            <w:r w:rsidR="00087B74" w:rsidRPr="005A76D6">
              <w:rPr>
                <w:rFonts w:ascii="IBM Plex Serif" w:hAnsi="IBM Plex Serif"/>
                <w:b/>
                <w:vertAlign w:val="superscript"/>
              </w:rPr>
              <w:t>8</w:t>
            </w:r>
            <w:r w:rsidR="00AA4361" w:rsidRPr="005A76D6">
              <w:rPr>
                <w:rFonts w:ascii="IBM Plex Serif" w:hAnsi="IBM Plex Serif"/>
                <w:b/>
              </w:rPr>
              <w:t>:</w:t>
            </w:r>
          </w:p>
        </w:tc>
      </w:tr>
      <w:tr w:rsidR="00105117" w:rsidRPr="005A76D6" w14:paraId="1B185351" w14:textId="77777777" w:rsidTr="00CA79A8">
        <w:trPr>
          <w:cantSplit/>
        </w:trPr>
        <w:tc>
          <w:tcPr>
            <w:tcW w:w="1403" w:type="dxa"/>
          </w:tcPr>
          <w:p w14:paraId="249AFAA0" w14:textId="77777777" w:rsidR="00105117" w:rsidRPr="005A76D6" w:rsidRDefault="00105117" w:rsidP="005409B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lastRenderedPageBreak/>
              <w:t>magyarul</w:t>
            </w:r>
          </w:p>
        </w:tc>
        <w:tc>
          <w:tcPr>
            <w:tcW w:w="8221" w:type="dxa"/>
            <w:gridSpan w:val="14"/>
          </w:tcPr>
          <w:p w14:paraId="688D88BD" w14:textId="77777777" w:rsidR="00C403F2" w:rsidRPr="005A76D6" w:rsidRDefault="00C403F2" w:rsidP="00C403F2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tudása</w:t>
            </w:r>
          </w:p>
          <w:p w14:paraId="3E08FC28" w14:textId="3FA164A6" w:rsidR="00C65DEF" w:rsidRPr="00DF40BA" w:rsidRDefault="00C65DEF" w:rsidP="00C65DEF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DF40BA">
              <w:rPr>
                <w:rFonts w:ascii="IBM Plex Serif" w:hAnsi="IBM Plex Serif"/>
              </w:rPr>
              <w:t xml:space="preserve">- T4 - Ismeri a hulladékgazdálkodási létesítmények üzemvitelét, műtárgyait, valamint azok </w:t>
            </w:r>
            <w:r>
              <w:rPr>
                <w:rFonts w:ascii="IBM Plex Serif" w:hAnsi="IBM Plex Serif"/>
              </w:rPr>
              <w:t>működési elveit</w:t>
            </w:r>
            <w:r w:rsidRPr="00DF40BA">
              <w:rPr>
                <w:rFonts w:ascii="IBM Plex Serif" w:hAnsi="IBM Plex Serif"/>
              </w:rPr>
              <w:t>.</w:t>
            </w:r>
          </w:p>
          <w:p w14:paraId="4CF0C642" w14:textId="1032FAEE" w:rsidR="00C65DEF" w:rsidRDefault="00C65DEF" w:rsidP="00C65DEF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DF40BA">
              <w:rPr>
                <w:rFonts w:ascii="IBM Plex Serif" w:hAnsi="IBM Plex Serif"/>
              </w:rPr>
              <w:t>-</w:t>
            </w:r>
            <w:r w:rsidRPr="00DF40BA">
              <w:rPr>
                <w:rFonts w:ascii="IBM Plex Serif" w:hAnsi="IBM Plex Serif"/>
              </w:rPr>
              <w:tab/>
              <w:t>T8 - Ismeri a hulladéklerakás problémáját, kockázatát és a lerakás csökkentésének lehetőségeit.</w:t>
            </w:r>
          </w:p>
          <w:p w14:paraId="18C3B8D8" w14:textId="55DAFB8A" w:rsidR="00C403F2" w:rsidRPr="005A76D6" w:rsidRDefault="00C403F2" w:rsidP="00C403F2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-</w:t>
            </w:r>
            <w:r w:rsidRPr="005A76D6">
              <w:rPr>
                <w:rFonts w:ascii="IBM Plex Serif" w:hAnsi="IBM Plex Serif"/>
              </w:rPr>
              <w:tab/>
              <w:t>T3 - Ismeri és alkalmazza a kármentesítési eljárásokat, a környezetvédelmi kárelhárítási módszereket, a területek rekultivációjának módszereit.</w:t>
            </w:r>
          </w:p>
          <w:p w14:paraId="2796E573" w14:textId="77777777" w:rsidR="00C403F2" w:rsidRPr="005A76D6" w:rsidRDefault="00C403F2" w:rsidP="00C403F2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-</w:t>
            </w:r>
            <w:r w:rsidRPr="005A76D6">
              <w:rPr>
                <w:rFonts w:ascii="IBM Plex Serif" w:hAnsi="IBM Plex Serif"/>
              </w:rPr>
              <w:tab/>
              <w:t>T6 - Ismeri és alkalmazza a hulladékgazdálkodási jegyzőkönyvek és a műszaki dokumentáció készítésének szabályait.</w:t>
            </w:r>
          </w:p>
          <w:p w14:paraId="62ED4258" w14:textId="77777777" w:rsidR="00C403F2" w:rsidRPr="005A76D6" w:rsidRDefault="00C403F2" w:rsidP="00C403F2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ind w:left="176" w:hanging="142"/>
              <w:jc w:val="left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képességei</w:t>
            </w:r>
          </w:p>
          <w:p w14:paraId="43171471" w14:textId="4116D5B7" w:rsidR="00C403F2" w:rsidRPr="005A76D6" w:rsidRDefault="00C403F2" w:rsidP="00C403F2">
            <w:pPr>
              <w:suppressAutoHyphens/>
              <w:ind w:left="176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- K6 - Képes a hulladékgazdálkodáshoz kapcsolódó műszaki dokumentációk értelmezésére és feldolgozására, a gépek, berendezések, technológiák és folyamatok tervezéséhez, szervezéséhez és működtetéséhez használatos eljárások, modellek, információs technológiák alkalmazására és azok </w:t>
            </w:r>
            <w:proofErr w:type="gramStart"/>
            <w:r w:rsidRPr="005A76D6">
              <w:rPr>
                <w:rFonts w:ascii="IBM Plex Serif" w:hAnsi="IBM Plex Serif"/>
              </w:rPr>
              <w:t>elemzésére</w:t>
            </w:r>
            <w:proofErr w:type="gramEnd"/>
            <w:r w:rsidRPr="005A76D6">
              <w:rPr>
                <w:rFonts w:ascii="IBM Plex Serif" w:hAnsi="IBM Plex Serif"/>
              </w:rPr>
              <w:t xml:space="preserve"> illetve továbbfejlesztésére.  </w:t>
            </w:r>
          </w:p>
          <w:p w14:paraId="67781129" w14:textId="00174595" w:rsidR="00C403F2" w:rsidRDefault="00C403F2" w:rsidP="00C403F2">
            <w:pPr>
              <w:suppressAutoHyphens/>
              <w:ind w:left="176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- K7 - Képes kárelhárítási módszerek összetett alkalmazására, a kárelhárítás előkészítésére és a kárelhárítás koordinációjára.</w:t>
            </w:r>
          </w:p>
          <w:p w14:paraId="17D518AF" w14:textId="62631311" w:rsidR="00C65DEF" w:rsidRPr="005A76D6" w:rsidRDefault="00C65DEF" w:rsidP="00C65DEF">
            <w:pPr>
              <w:suppressAutoHyphens/>
              <w:ind w:left="176"/>
              <w:rPr>
                <w:rFonts w:ascii="IBM Plex Serif" w:hAnsi="IBM Plex Serif"/>
              </w:rPr>
            </w:pPr>
            <w:r w:rsidRPr="00DF40BA">
              <w:rPr>
                <w:rFonts w:ascii="IBM Plex Serif" w:hAnsi="IBM Plex Serif"/>
              </w:rPr>
              <w:t>- K8 - Képes a hulladékgazdálkodási feladatokhoz kapcsolódó műszaki, környezetvédelmi, gazdasági, társadalmi, hazai és EU jogi szakterületek ismereteinek és tevékenységinek áttekintésére.</w:t>
            </w:r>
          </w:p>
          <w:p w14:paraId="04373122" w14:textId="77777777" w:rsidR="00C403F2" w:rsidRPr="005A76D6" w:rsidRDefault="00C403F2" w:rsidP="00C403F2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attitűd</w:t>
            </w:r>
          </w:p>
          <w:p w14:paraId="546493A8" w14:textId="77777777" w:rsidR="00C403F2" w:rsidRPr="005A76D6" w:rsidRDefault="00C403F2" w:rsidP="00C403F2">
            <w:pPr>
              <w:tabs>
                <w:tab w:val="left" w:pos="317"/>
              </w:tabs>
              <w:suppressAutoHyphens/>
              <w:ind w:left="176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- </w:t>
            </w:r>
            <w:r w:rsidRPr="005A76D6">
              <w:rPr>
                <w:rFonts w:ascii="IBM Plex Serif" w:hAnsi="IBM Plex Serif"/>
              </w:rPr>
              <w:tab/>
              <w:t>A6 - Elkötelezett az emberi egészséget, a természetes és mesterséges környezetet nem veszélyeztető biztonságos munkavégzés iránt.</w:t>
            </w:r>
          </w:p>
          <w:p w14:paraId="3181779D" w14:textId="77777777" w:rsidR="00C403F2" w:rsidRPr="005A76D6" w:rsidRDefault="00C403F2" w:rsidP="00C403F2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ind w:left="176" w:hanging="142"/>
              <w:jc w:val="left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autonómiája és felelőssége</w:t>
            </w:r>
          </w:p>
          <w:p w14:paraId="4ED684DF" w14:textId="77777777" w:rsidR="00C403F2" w:rsidRPr="005A76D6" w:rsidRDefault="00C403F2" w:rsidP="00C403F2">
            <w:pPr>
              <w:suppressAutoHyphens/>
              <w:ind w:left="176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- F1 - Önállóan képes hulladékgazdálkodással kapcsolatos mérnöki feladatok megoldására, döntéseit körültekintően, jogi, gazdasági, környezetvédelmi szakterületek képviselőivel tanácskozva, önállóan hozza, melyért felelősséget vállal.</w:t>
            </w:r>
          </w:p>
          <w:p w14:paraId="16B439C1" w14:textId="77777777" w:rsidR="00105117" w:rsidRPr="005A76D6" w:rsidRDefault="00C403F2" w:rsidP="00C403F2">
            <w:pPr>
              <w:ind w:left="134"/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</w:rPr>
              <w:t>- F2 - Felelősséget vállal a szakvéleményében közölt megállapításokért és szakmai döntéseiért, az általa, illetve irányítása alatt végzett munkafolyamatokért.</w:t>
            </w:r>
          </w:p>
        </w:tc>
      </w:tr>
      <w:tr w:rsidR="00105117" w:rsidRPr="005A76D6" w14:paraId="7EF850FA" w14:textId="77777777" w:rsidTr="00CA79A8">
        <w:trPr>
          <w:cantSplit/>
        </w:trPr>
        <w:tc>
          <w:tcPr>
            <w:tcW w:w="1403" w:type="dxa"/>
          </w:tcPr>
          <w:p w14:paraId="0F4118BB" w14:textId="77777777" w:rsidR="00105117" w:rsidRPr="005A76D6" w:rsidRDefault="00105117" w:rsidP="005409B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lastRenderedPageBreak/>
              <w:t>angolul</w:t>
            </w:r>
          </w:p>
        </w:tc>
        <w:tc>
          <w:tcPr>
            <w:tcW w:w="8221" w:type="dxa"/>
            <w:gridSpan w:val="14"/>
          </w:tcPr>
          <w:p w14:paraId="3B3E7084" w14:textId="0ED13CFA" w:rsidR="00C65DEF" w:rsidRPr="009406AC" w:rsidRDefault="00C403F2" w:rsidP="009406AC">
            <w:pPr>
              <w:pStyle w:val="Listaszerbekezds"/>
              <w:numPr>
                <w:ilvl w:val="0"/>
                <w:numId w:val="11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5A76D6">
              <w:rPr>
                <w:rFonts w:ascii="IBM Plex Serif" w:hAnsi="IBM Plex Serif"/>
              </w:rPr>
              <w:t>knowledge</w:t>
            </w:r>
            <w:proofErr w:type="spellEnd"/>
          </w:p>
          <w:p w14:paraId="656F4820" w14:textId="73D0693A" w:rsidR="00C65DEF" w:rsidRPr="00DF40BA" w:rsidRDefault="00C65DEF" w:rsidP="00C65DEF">
            <w:pPr>
              <w:pStyle w:val="Listaszerbekezds"/>
              <w:suppressAutoHyphens/>
              <w:ind w:left="394"/>
              <w:rPr>
                <w:rFonts w:ascii="IBM Plex Serif" w:hAnsi="IBM Plex Serif"/>
              </w:rPr>
            </w:pPr>
            <w:r w:rsidRPr="00DF40BA">
              <w:rPr>
                <w:rFonts w:ascii="IBM Plex Serif" w:hAnsi="IBM Plex Serif"/>
              </w:rPr>
              <w:t xml:space="preserve">- T4 - </w:t>
            </w:r>
            <w:proofErr w:type="spellStart"/>
            <w:r w:rsidRPr="00DF40BA">
              <w:rPr>
                <w:rFonts w:ascii="IBM Plex Serif" w:hAnsi="IBM Plex Serif"/>
              </w:rPr>
              <w:t>Demonstrable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knowledge</w:t>
            </w:r>
            <w:proofErr w:type="spellEnd"/>
            <w:r w:rsidRPr="00DF40BA">
              <w:rPr>
                <w:rFonts w:ascii="IBM Plex Serif" w:hAnsi="IBM Plex Serif"/>
              </w:rPr>
              <w:t xml:space="preserve"> of </w:t>
            </w:r>
            <w:proofErr w:type="spellStart"/>
            <w:r w:rsidRPr="00DF40BA">
              <w:rPr>
                <w:rFonts w:ascii="IBM Plex Serif" w:hAnsi="IBM Plex Serif"/>
              </w:rPr>
              <w:t>the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operation</w:t>
            </w:r>
            <w:proofErr w:type="spellEnd"/>
            <w:r w:rsidRPr="00DF40BA">
              <w:rPr>
                <w:rFonts w:ascii="IBM Plex Serif" w:hAnsi="IBM Plex Serif"/>
              </w:rPr>
              <w:t xml:space="preserve"> and </w:t>
            </w:r>
            <w:proofErr w:type="spellStart"/>
            <w:r w:rsidRPr="00DF40BA">
              <w:rPr>
                <w:rFonts w:ascii="IBM Plex Serif" w:hAnsi="IBM Plex Serif"/>
              </w:rPr>
              <w:t>installations</w:t>
            </w:r>
            <w:proofErr w:type="spellEnd"/>
            <w:r w:rsidRPr="00DF40BA">
              <w:rPr>
                <w:rFonts w:ascii="IBM Plex Serif" w:hAnsi="IBM Plex Serif"/>
              </w:rPr>
              <w:t xml:space="preserve"> of </w:t>
            </w:r>
            <w:proofErr w:type="spellStart"/>
            <w:r w:rsidRPr="00DF40BA">
              <w:rPr>
                <w:rFonts w:ascii="IBM Plex Serif" w:hAnsi="IBM Plex Serif"/>
              </w:rPr>
              <w:t>waste</w:t>
            </w:r>
            <w:proofErr w:type="spellEnd"/>
            <w:r w:rsidRPr="00DF40BA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DF40BA">
              <w:rPr>
                <w:rFonts w:ascii="IBM Plex Serif" w:hAnsi="IBM Plex Serif"/>
              </w:rPr>
              <w:t>facilities</w:t>
            </w:r>
            <w:proofErr w:type="spellEnd"/>
            <w:r w:rsidRPr="00DF40BA">
              <w:rPr>
                <w:rFonts w:ascii="IBM Plex Serif" w:hAnsi="IBM Plex Serif"/>
              </w:rPr>
              <w:t xml:space="preserve">, </w:t>
            </w:r>
            <w:r w:rsidRPr="00C65DEF">
              <w:rPr>
                <w:rFonts w:ascii="IBM Plex Serif" w:hAnsi="IBM Plex Serif"/>
              </w:rPr>
              <w:t xml:space="preserve">and </w:t>
            </w:r>
            <w:proofErr w:type="spellStart"/>
            <w:r w:rsidRPr="00C65DEF">
              <w:rPr>
                <w:rFonts w:ascii="IBM Plex Serif" w:hAnsi="IBM Plex Serif"/>
              </w:rPr>
              <w:t>their</w:t>
            </w:r>
            <w:proofErr w:type="spellEnd"/>
            <w:r w:rsidRPr="00C65DEF">
              <w:rPr>
                <w:rFonts w:ascii="IBM Plex Serif" w:hAnsi="IBM Plex Serif"/>
              </w:rPr>
              <w:t xml:space="preserve"> </w:t>
            </w:r>
            <w:proofErr w:type="spellStart"/>
            <w:r w:rsidRPr="00C65DEF">
              <w:rPr>
                <w:rFonts w:ascii="IBM Plex Serif" w:hAnsi="IBM Plex Serif"/>
              </w:rPr>
              <w:t>operating</w:t>
            </w:r>
            <w:proofErr w:type="spellEnd"/>
            <w:r w:rsidRPr="00C65DEF">
              <w:rPr>
                <w:rFonts w:ascii="IBM Plex Serif" w:hAnsi="IBM Plex Serif"/>
              </w:rPr>
              <w:t xml:space="preserve"> </w:t>
            </w:r>
            <w:proofErr w:type="spellStart"/>
            <w:r w:rsidRPr="00C65DEF">
              <w:rPr>
                <w:rFonts w:ascii="IBM Plex Serif" w:hAnsi="IBM Plex Serif"/>
              </w:rPr>
              <w:t>principles</w:t>
            </w:r>
            <w:proofErr w:type="spellEnd"/>
            <w:r w:rsidRPr="00C65DEF">
              <w:rPr>
                <w:rFonts w:ascii="IBM Plex Serif" w:hAnsi="IBM Plex Serif"/>
              </w:rPr>
              <w:t>.</w:t>
            </w:r>
          </w:p>
          <w:p w14:paraId="792EDB19" w14:textId="77777777" w:rsidR="00C65DEF" w:rsidRPr="00DF40BA" w:rsidRDefault="00C65DEF" w:rsidP="00C65DEF">
            <w:pPr>
              <w:ind w:left="417"/>
              <w:rPr>
                <w:rFonts w:ascii="IBM Plex Serif" w:hAnsi="IBM Plex Serif"/>
              </w:rPr>
            </w:pPr>
            <w:r w:rsidRPr="00DF40BA">
              <w:rPr>
                <w:rFonts w:ascii="IBM Plex Serif" w:hAnsi="IBM Plex Serif"/>
              </w:rPr>
              <w:t xml:space="preserve">- T8 - </w:t>
            </w:r>
            <w:proofErr w:type="spellStart"/>
            <w:r w:rsidRPr="00DF40BA">
              <w:rPr>
                <w:rFonts w:ascii="IBM Plex Serif" w:hAnsi="IBM Plex Serif"/>
              </w:rPr>
              <w:t>Knowledge</w:t>
            </w:r>
            <w:proofErr w:type="spellEnd"/>
            <w:r w:rsidRPr="00DF40BA">
              <w:rPr>
                <w:rFonts w:ascii="IBM Plex Serif" w:hAnsi="IBM Plex Serif"/>
              </w:rPr>
              <w:t xml:space="preserve"> of </w:t>
            </w:r>
            <w:proofErr w:type="spellStart"/>
            <w:r w:rsidRPr="00DF40BA">
              <w:rPr>
                <w:rFonts w:ascii="IBM Plex Serif" w:hAnsi="IBM Plex Serif"/>
              </w:rPr>
              <w:t>the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problem</w:t>
            </w:r>
            <w:proofErr w:type="spellEnd"/>
            <w:r w:rsidRPr="00DF40BA">
              <w:rPr>
                <w:rFonts w:ascii="IBM Plex Serif" w:hAnsi="IBM Plex Serif"/>
              </w:rPr>
              <w:t xml:space="preserve"> of </w:t>
            </w:r>
            <w:proofErr w:type="spellStart"/>
            <w:r w:rsidRPr="00DF40BA">
              <w:rPr>
                <w:rFonts w:ascii="IBM Plex Serif" w:hAnsi="IBM Plex Serif"/>
              </w:rPr>
              <w:t>landfilling</w:t>
            </w:r>
            <w:proofErr w:type="spellEnd"/>
            <w:r w:rsidRPr="00DF40BA">
              <w:rPr>
                <w:rFonts w:ascii="IBM Plex Serif" w:hAnsi="IBM Plex Serif"/>
              </w:rPr>
              <w:t xml:space="preserve">, </w:t>
            </w:r>
            <w:proofErr w:type="spellStart"/>
            <w:r w:rsidRPr="00DF40BA">
              <w:rPr>
                <w:rFonts w:ascii="IBM Plex Serif" w:hAnsi="IBM Plex Serif"/>
              </w:rPr>
              <w:t>its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risks</w:t>
            </w:r>
            <w:proofErr w:type="spellEnd"/>
            <w:r w:rsidRPr="00DF40BA">
              <w:rPr>
                <w:rFonts w:ascii="IBM Plex Serif" w:hAnsi="IBM Plex Serif"/>
              </w:rPr>
              <w:t xml:space="preserve"> and </w:t>
            </w:r>
            <w:proofErr w:type="spellStart"/>
            <w:r w:rsidRPr="00DF40BA">
              <w:rPr>
                <w:rFonts w:ascii="IBM Plex Serif" w:hAnsi="IBM Plex Serif"/>
              </w:rPr>
              <w:t>ways</w:t>
            </w:r>
            <w:proofErr w:type="spellEnd"/>
            <w:r w:rsidRPr="00DF40BA">
              <w:rPr>
                <w:rFonts w:ascii="IBM Plex Serif" w:hAnsi="IBM Plex Serif"/>
              </w:rPr>
              <w:t xml:space="preserve"> of </w:t>
            </w:r>
            <w:proofErr w:type="spellStart"/>
            <w:r w:rsidRPr="00DF40BA">
              <w:rPr>
                <w:rFonts w:ascii="IBM Plex Serif" w:hAnsi="IBM Plex Serif"/>
              </w:rPr>
              <w:t>reducing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it</w:t>
            </w:r>
            <w:proofErr w:type="spellEnd"/>
          </w:p>
          <w:p w14:paraId="74208719" w14:textId="644EB9E5" w:rsidR="00C403F2" w:rsidRPr="005A76D6" w:rsidRDefault="00C403F2" w:rsidP="00C403F2">
            <w:pPr>
              <w:pStyle w:val="Listaszerbekezds"/>
              <w:suppressAutoHyphens/>
              <w:ind w:left="394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- T3 - </w:t>
            </w:r>
            <w:proofErr w:type="spellStart"/>
            <w:r w:rsidRPr="005A76D6">
              <w:rPr>
                <w:rFonts w:ascii="IBM Plex Serif" w:hAnsi="IBM Plex Serif"/>
              </w:rPr>
              <w:t>Demonstrates</w:t>
            </w:r>
            <w:proofErr w:type="spellEnd"/>
            <w:r w:rsidRPr="005A76D6">
              <w:rPr>
                <w:rFonts w:ascii="IBM Plex Serif" w:hAnsi="IBM Plex Serif"/>
              </w:rPr>
              <w:t xml:space="preserve"> an </w:t>
            </w:r>
            <w:proofErr w:type="spellStart"/>
            <w:r w:rsidRPr="005A76D6">
              <w:rPr>
                <w:rFonts w:ascii="IBM Plex Serif" w:hAnsi="IBM Plex Serif"/>
              </w:rPr>
              <w:t>understanding</w:t>
            </w:r>
            <w:proofErr w:type="spellEnd"/>
            <w:r w:rsidRPr="005A76D6">
              <w:rPr>
                <w:rFonts w:ascii="IBM Plex Serif" w:hAnsi="IBM Plex Serif"/>
              </w:rPr>
              <w:t xml:space="preserve"> of and </w:t>
            </w:r>
            <w:proofErr w:type="spellStart"/>
            <w:r w:rsidRPr="005A76D6">
              <w:rPr>
                <w:rFonts w:ascii="IBM Plex Serif" w:hAnsi="IBM Plex Serif"/>
              </w:rPr>
              <w:t>proficiency</w:t>
            </w:r>
            <w:proofErr w:type="spellEnd"/>
            <w:r w:rsidRPr="005A76D6">
              <w:rPr>
                <w:rFonts w:ascii="IBM Plex Serif" w:hAnsi="IBM Plex Serif"/>
              </w:rPr>
              <w:t xml:space="preserve"> in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implementation</w:t>
            </w:r>
            <w:proofErr w:type="spellEnd"/>
            <w:r w:rsidRPr="005A76D6">
              <w:rPr>
                <w:rFonts w:ascii="IBM Plex Serif" w:hAnsi="IBM Plex Serif"/>
              </w:rPr>
              <w:t xml:space="preserve"> of </w:t>
            </w:r>
            <w:proofErr w:type="spellStart"/>
            <w:r w:rsidRPr="005A76D6">
              <w:rPr>
                <w:rFonts w:ascii="IBM Plex Serif" w:hAnsi="IBM Plex Serif"/>
              </w:rPr>
              <w:t>remediation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procedures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environmental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remediation</w:t>
            </w:r>
            <w:proofErr w:type="spellEnd"/>
            <w:r w:rsidRPr="005A76D6">
              <w:rPr>
                <w:rFonts w:ascii="IBM Plex Serif" w:hAnsi="IBM Plex Serif"/>
              </w:rPr>
              <w:t xml:space="preserve"> and site </w:t>
            </w:r>
            <w:proofErr w:type="spellStart"/>
            <w:r w:rsidRPr="005A76D6">
              <w:rPr>
                <w:rFonts w:ascii="IBM Plex Serif" w:hAnsi="IBM Plex Serif"/>
              </w:rPr>
              <w:t>restoration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methods</w:t>
            </w:r>
            <w:proofErr w:type="spellEnd"/>
            <w:r w:rsidRPr="005A76D6">
              <w:rPr>
                <w:rFonts w:ascii="IBM Plex Serif" w:hAnsi="IBM Plex Serif"/>
              </w:rPr>
              <w:t>.</w:t>
            </w:r>
          </w:p>
          <w:p w14:paraId="1EEBD1B4" w14:textId="77777777" w:rsidR="00C403F2" w:rsidRPr="005A76D6" w:rsidRDefault="00C403F2" w:rsidP="00C403F2">
            <w:pPr>
              <w:pStyle w:val="Listaszerbekezds"/>
              <w:suppressAutoHyphens/>
              <w:ind w:left="394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- T6 - </w:t>
            </w:r>
            <w:proofErr w:type="spellStart"/>
            <w:r w:rsidRPr="005A76D6">
              <w:rPr>
                <w:rFonts w:ascii="IBM Plex Serif" w:hAnsi="IBM Plex Serif"/>
              </w:rPr>
              <w:t>Demonstrates</w:t>
            </w:r>
            <w:proofErr w:type="spellEnd"/>
            <w:r w:rsidRPr="005A76D6">
              <w:rPr>
                <w:rFonts w:ascii="IBM Plex Serif" w:hAnsi="IBM Plex Serif"/>
              </w:rPr>
              <w:t xml:space="preserve"> a </w:t>
            </w:r>
            <w:proofErr w:type="spellStart"/>
            <w:r w:rsidRPr="005A76D6">
              <w:rPr>
                <w:rFonts w:ascii="IBM Plex Serif" w:hAnsi="IBM Plex Serif"/>
              </w:rPr>
              <w:t>comprehensive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understanding</w:t>
            </w:r>
            <w:proofErr w:type="spellEnd"/>
            <w:r w:rsidRPr="005A76D6">
              <w:rPr>
                <w:rFonts w:ascii="IBM Plex Serif" w:hAnsi="IBM Plex Serif"/>
              </w:rPr>
              <w:t xml:space="preserve"> of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regulations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pertaining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preparation of </w:t>
            </w:r>
            <w:proofErr w:type="spellStart"/>
            <w:r w:rsidRPr="005A76D6">
              <w:rPr>
                <w:rFonts w:ascii="IBM Plex Serif" w:hAnsi="IBM Plex Serif"/>
              </w:rPr>
              <w:t>waste</w:t>
            </w:r>
            <w:proofErr w:type="spellEnd"/>
            <w:r w:rsidRPr="005A76D6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5A76D6">
              <w:rPr>
                <w:rFonts w:ascii="IBM Plex Serif" w:hAnsi="IBM Plex Serif"/>
              </w:rPr>
              <w:t>records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technical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documentation</w:t>
            </w:r>
            <w:proofErr w:type="spellEnd"/>
            <w:r w:rsidRPr="005A76D6">
              <w:rPr>
                <w:rFonts w:ascii="IBM Plex Serif" w:hAnsi="IBM Plex Serif"/>
              </w:rPr>
              <w:t>.</w:t>
            </w:r>
          </w:p>
          <w:p w14:paraId="57D8B789" w14:textId="77777777" w:rsidR="00C403F2" w:rsidRPr="005A76D6" w:rsidRDefault="00C403F2" w:rsidP="00C403F2">
            <w:pPr>
              <w:pStyle w:val="Listaszerbekezds"/>
              <w:numPr>
                <w:ilvl w:val="0"/>
                <w:numId w:val="11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5A76D6">
              <w:rPr>
                <w:rFonts w:ascii="IBM Plex Serif" w:hAnsi="IBM Plex Serif"/>
              </w:rPr>
              <w:t>skills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</w:p>
          <w:p w14:paraId="3005F81C" w14:textId="77777777" w:rsidR="00C403F2" w:rsidRPr="005A76D6" w:rsidRDefault="00C403F2" w:rsidP="00C403F2">
            <w:pPr>
              <w:ind w:left="417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- K6 - The </w:t>
            </w:r>
            <w:proofErr w:type="spellStart"/>
            <w:r w:rsidRPr="005A76D6">
              <w:rPr>
                <w:rFonts w:ascii="IBM Plex Serif" w:hAnsi="IBM Plex Serif"/>
              </w:rPr>
              <w:t>capacity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interpret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process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technical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documentation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related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waste</w:t>
            </w:r>
            <w:proofErr w:type="spellEnd"/>
            <w:r w:rsidRPr="005A76D6">
              <w:rPr>
                <w:rFonts w:ascii="IBM Plex Serif" w:hAnsi="IBM Plex Serif"/>
              </w:rPr>
              <w:t xml:space="preserve"> management,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apply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procedures</w:t>
            </w:r>
            <w:proofErr w:type="spellEnd"/>
            <w:r w:rsidRPr="005A76D6">
              <w:rPr>
                <w:rFonts w:ascii="IBM Plex Serif" w:hAnsi="IBM Plex Serif"/>
              </w:rPr>
              <w:t xml:space="preserve">, </w:t>
            </w:r>
            <w:proofErr w:type="spellStart"/>
            <w:r w:rsidRPr="005A76D6">
              <w:rPr>
                <w:rFonts w:ascii="IBM Plex Serif" w:hAnsi="IBM Plex Serif"/>
              </w:rPr>
              <w:t>models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information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technologies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used</w:t>
            </w:r>
            <w:proofErr w:type="spellEnd"/>
            <w:r w:rsidRPr="005A76D6">
              <w:rPr>
                <w:rFonts w:ascii="IBM Plex Serif" w:hAnsi="IBM Plex Serif"/>
              </w:rPr>
              <w:t xml:space="preserve"> in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design, </w:t>
            </w:r>
            <w:proofErr w:type="spellStart"/>
            <w:r w:rsidRPr="005A76D6">
              <w:rPr>
                <w:rFonts w:ascii="IBM Plex Serif" w:hAnsi="IBM Plex Serif"/>
              </w:rPr>
              <w:t>organisation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operation</w:t>
            </w:r>
            <w:proofErr w:type="spellEnd"/>
            <w:r w:rsidRPr="005A76D6">
              <w:rPr>
                <w:rFonts w:ascii="IBM Plex Serif" w:hAnsi="IBM Plex Serif"/>
              </w:rPr>
              <w:t xml:space="preserve"> of </w:t>
            </w:r>
            <w:proofErr w:type="spellStart"/>
            <w:r w:rsidRPr="005A76D6">
              <w:rPr>
                <w:rFonts w:ascii="IBM Plex Serif" w:hAnsi="IBM Plex Serif"/>
              </w:rPr>
              <w:t>machinery</w:t>
            </w:r>
            <w:proofErr w:type="spellEnd"/>
            <w:r w:rsidRPr="005A76D6">
              <w:rPr>
                <w:rFonts w:ascii="IBM Plex Serif" w:hAnsi="IBM Plex Serif"/>
              </w:rPr>
              <w:t xml:space="preserve">, </w:t>
            </w:r>
            <w:proofErr w:type="spellStart"/>
            <w:r w:rsidRPr="005A76D6">
              <w:rPr>
                <w:rFonts w:ascii="IBM Plex Serif" w:hAnsi="IBM Plex Serif"/>
              </w:rPr>
              <w:t>equipment</w:t>
            </w:r>
            <w:proofErr w:type="spellEnd"/>
            <w:r w:rsidRPr="005A76D6">
              <w:rPr>
                <w:rFonts w:ascii="IBM Plex Serif" w:hAnsi="IBM Plex Serif"/>
              </w:rPr>
              <w:t xml:space="preserve">, </w:t>
            </w:r>
            <w:proofErr w:type="spellStart"/>
            <w:r w:rsidRPr="005A76D6">
              <w:rPr>
                <w:rFonts w:ascii="IBM Plex Serif" w:hAnsi="IBM Plex Serif"/>
              </w:rPr>
              <w:t>technologies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processes</w:t>
            </w:r>
            <w:proofErr w:type="spellEnd"/>
            <w:r w:rsidRPr="005A76D6">
              <w:rPr>
                <w:rFonts w:ascii="IBM Plex Serif" w:hAnsi="IBM Plex Serif"/>
              </w:rPr>
              <w:t xml:space="preserve">, and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analyse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improve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them</w:t>
            </w:r>
            <w:proofErr w:type="spellEnd"/>
            <w:r w:rsidRPr="005A76D6">
              <w:rPr>
                <w:rFonts w:ascii="IBM Plex Serif" w:hAnsi="IBM Plex Serif"/>
              </w:rPr>
              <w:t xml:space="preserve">.  </w:t>
            </w:r>
          </w:p>
          <w:p w14:paraId="700C0EE1" w14:textId="1678A3E8" w:rsidR="00105117" w:rsidRDefault="00C403F2" w:rsidP="00C403F2">
            <w:pPr>
              <w:ind w:left="417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- K7 - The </w:t>
            </w:r>
            <w:proofErr w:type="spellStart"/>
            <w:r w:rsidRPr="005A76D6">
              <w:rPr>
                <w:rFonts w:ascii="IBM Plex Serif" w:hAnsi="IBM Plex Serif"/>
              </w:rPr>
              <w:t>capacity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implement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sophisticated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damage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control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techniques</w:t>
            </w:r>
            <w:proofErr w:type="spellEnd"/>
            <w:r w:rsidRPr="005A76D6">
              <w:rPr>
                <w:rFonts w:ascii="IBM Plex Serif" w:hAnsi="IBM Plex Serif"/>
              </w:rPr>
              <w:t xml:space="preserve">,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organise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coordinate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damage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control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measures</w:t>
            </w:r>
            <w:proofErr w:type="spellEnd"/>
            <w:r w:rsidRPr="005A76D6">
              <w:rPr>
                <w:rFonts w:ascii="IBM Plex Serif" w:hAnsi="IBM Plex Serif"/>
              </w:rPr>
              <w:t>.</w:t>
            </w:r>
          </w:p>
          <w:p w14:paraId="2D34AE4F" w14:textId="2BE44291" w:rsidR="00C65DEF" w:rsidRPr="005A76D6" w:rsidRDefault="00C65DEF" w:rsidP="00C65DEF">
            <w:pPr>
              <w:ind w:left="417"/>
              <w:rPr>
                <w:rFonts w:ascii="IBM Plex Serif" w:hAnsi="IBM Plex Serif"/>
              </w:rPr>
            </w:pPr>
            <w:r w:rsidRPr="00DF40BA">
              <w:rPr>
                <w:rFonts w:ascii="IBM Plex Serif" w:hAnsi="IBM Plex Serif"/>
              </w:rPr>
              <w:t xml:space="preserve">- K8 - The </w:t>
            </w:r>
            <w:proofErr w:type="spellStart"/>
            <w:r w:rsidRPr="00DF40BA">
              <w:rPr>
                <w:rFonts w:ascii="IBM Plex Serif" w:hAnsi="IBM Plex Serif"/>
              </w:rPr>
              <w:t>capacity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to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evaluate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the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knowledge</w:t>
            </w:r>
            <w:proofErr w:type="spellEnd"/>
            <w:r w:rsidRPr="00DF40BA">
              <w:rPr>
                <w:rFonts w:ascii="IBM Plex Serif" w:hAnsi="IBM Plex Serif"/>
              </w:rPr>
              <w:t xml:space="preserve"> and </w:t>
            </w:r>
            <w:proofErr w:type="spellStart"/>
            <w:r w:rsidRPr="00DF40BA">
              <w:rPr>
                <w:rFonts w:ascii="IBM Plex Serif" w:hAnsi="IBM Plex Serif"/>
              </w:rPr>
              <w:t>activities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associated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with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technical</w:t>
            </w:r>
            <w:proofErr w:type="spellEnd"/>
            <w:r w:rsidRPr="00DF40BA">
              <w:rPr>
                <w:rFonts w:ascii="IBM Plex Serif" w:hAnsi="IBM Plex Serif"/>
              </w:rPr>
              <w:t xml:space="preserve">, </w:t>
            </w:r>
            <w:proofErr w:type="spellStart"/>
            <w:r w:rsidRPr="00DF40BA">
              <w:rPr>
                <w:rFonts w:ascii="IBM Plex Serif" w:hAnsi="IBM Plex Serif"/>
              </w:rPr>
              <w:t>environmental</w:t>
            </w:r>
            <w:proofErr w:type="spellEnd"/>
            <w:r w:rsidRPr="00DF40BA">
              <w:rPr>
                <w:rFonts w:ascii="IBM Plex Serif" w:hAnsi="IBM Plex Serif"/>
              </w:rPr>
              <w:t xml:space="preserve">, </w:t>
            </w:r>
            <w:proofErr w:type="spellStart"/>
            <w:r w:rsidRPr="00DF40BA">
              <w:rPr>
                <w:rFonts w:ascii="IBM Plex Serif" w:hAnsi="IBM Plex Serif"/>
              </w:rPr>
              <w:t>economic</w:t>
            </w:r>
            <w:proofErr w:type="spellEnd"/>
            <w:r w:rsidRPr="00DF40BA">
              <w:rPr>
                <w:rFonts w:ascii="IBM Plex Serif" w:hAnsi="IBM Plex Serif"/>
              </w:rPr>
              <w:t xml:space="preserve">, </w:t>
            </w:r>
            <w:proofErr w:type="spellStart"/>
            <w:r w:rsidRPr="00DF40BA">
              <w:rPr>
                <w:rFonts w:ascii="IBM Plex Serif" w:hAnsi="IBM Plex Serif"/>
              </w:rPr>
              <w:t>social</w:t>
            </w:r>
            <w:proofErr w:type="spellEnd"/>
            <w:r w:rsidRPr="00DF40BA">
              <w:rPr>
                <w:rFonts w:ascii="IBM Plex Serif" w:hAnsi="IBM Plex Serif"/>
              </w:rPr>
              <w:t xml:space="preserve">, </w:t>
            </w:r>
            <w:proofErr w:type="spellStart"/>
            <w:r w:rsidRPr="00DF40BA">
              <w:rPr>
                <w:rFonts w:ascii="IBM Plex Serif" w:hAnsi="IBM Plex Serif"/>
              </w:rPr>
              <w:t>national</w:t>
            </w:r>
            <w:proofErr w:type="spellEnd"/>
            <w:r w:rsidRPr="00DF40BA">
              <w:rPr>
                <w:rFonts w:ascii="IBM Plex Serif" w:hAnsi="IBM Plex Serif"/>
              </w:rPr>
              <w:t xml:space="preserve"> and EU </w:t>
            </w:r>
            <w:proofErr w:type="spellStart"/>
            <w:r w:rsidRPr="00DF40BA">
              <w:rPr>
                <w:rFonts w:ascii="IBM Plex Serif" w:hAnsi="IBM Plex Serif"/>
              </w:rPr>
              <w:t>legal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disciplines</w:t>
            </w:r>
            <w:proofErr w:type="spellEnd"/>
            <w:r w:rsidRPr="00DF40BA">
              <w:rPr>
                <w:rFonts w:ascii="IBM Plex Serif" w:hAnsi="IBM Plex Serif"/>
              </w:rPr>
              <w:t xml:space="preserve"> in </w:t>
            </w:r>
            <w:proofErr w:type="spellStart"/>
            <w:r w:rsidRPr="00DF40BA">
              <w:rPr>
                <w:rFonts w:ascii="IBM Plex Serif" w:hAnsi="IBM Plex Serif"/>
              </w:rPr>
              <w:t>relation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to</w:t>
            </w:r>
            <w:proofErr w:type="spell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waste</w:t>
            </w:r>
            <w:proofErr w:type="spellEnd"/>
            <w:r w:rsidRPr="00DF40BA">
              <w:rPr>
                <w:rFonts w:ascii="IBM Plex Serif" w:hAnsi="IBM Plex Serif"/>
              </w:rPr>
              <w:t xml:space="preserve"> management.</w:t>
            </w:r>
          </w:p>
          <w:p w14:paraId="19A3BD3C" w14:textId="77777777" w:rsidR="00C403F2" w:rsidRPr="005A76D6" w:rsidRDefault="00C403F2" w:rsidP="00C403F2">
            <w:pPr>
              <w:pStyle w:val="Listaszerbekezds"/>
              <w:numPr>
                <w:ilvl w:val="0"/>
                <w:numId w:val="11"/>
              </w:numPr>
              <w:suppressAutoHyphens/>
              <w:rPr>
                <w:rFonts w:ascii="IBM Plex Serif" w:hAnsi="IBM Plex Serif"/>
              </w:rPr>
            </w:pPr>
            <w:proofErr w:type="spellStart"/>
            <w:r w:rsidRPr="005A76D6">
              <w:rPr>
                <w:rFonts w:ascii="IBM Plex Serif" w:hAnsi="IBM Plex Serif"/>
              </w:rPr>
              <w:t>attitude</w:t>
            </w:r>
            <w:proofErr w:type="spellEnd"/>
          </w:p>
          <w:p w14:paraId="399F6510" w14:textId="77777777" w:rsidR="00C403F2" w:rsidRPr="005A76D6" w:rsidRDefault="00C403F2" w:rsidP="00C403F2">
            <w:pPr>
              <w:ind w:left="417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- A6 - The </w:t>
            </w:r>
            <w:proofErr w:type="spellStart"/>
            <w:r w:rsidRPr="005A76D6">
              <w:rPr>
                <w:rFonts w:ascii="IBM Plex Serif" w:hAnsi="IBM Plex Serif"/>
              </w:rPr>
              <w:t>organisation</w:t>
            </w:r>
            <w:proofErr w:type="spellEnd"/>
            <w:r w:rsidRPr="005A76D6">
              <w:rPr>
                <w:rFonts w:ascii="IBM Plex Serif" w:hAnsi="IBM Plex Serif"/>
              </w:rPr>
              <w:t xml:space="preserve"> is </w:t>
            </w:r>
            <w:proofErr w:type="spellStart"/>
            <w:r w:rsidRPr="005A76D6">
              <w:rPr>
                <w:rFonts w:ascii="IBM Plex Serif" w:hAnsi="IBM Plex Serif"/>
              </w:rPr>
              <w:t>committed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ensuring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safety</w:t>
            </w:r>
            <w:proofErr w:type="spellEnd"/>
            <w:r w:rsidRPr="005A76D6">
              <w:rPr>
                <w:rFonts w:ascii="IBM Plex Serif" w:hAnsi="IBM Plex Serif"/>
              </w:rPr>
              <w:t xml:space="preserve"> of </w:t>
            </w:r>
            <w:proofErr w:type="spellStart"/>
            <w:r w:rsidRPr="005A76D6">
              <w:rPr>
                <w:rFonts w:ascii="IBM Plex Serif" w:hAnsi="IBM Plex Serif"/>
              </w:rPr>
              <w:t>its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employees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general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public</w:t>
            </w:r>
            <w:proofErr w:type="spellEnd"/>
            <w:r w:rsidRPr="005A76D6">
              <w:rPr>
                <w:rFonts w:ascii="IBM Plex Serif" w:hAnsi="IBM Plex Serif"/>
              </w:rPr>
              <w:t xml:space="preserve">, </w:t>
            </w:r>
            <w:proofErr w:type="spellStart"/>
            <w:r w:rsidRPr="005A76D6">
              <w:rPr>
                <w:rFonts w:ascii="IBM Plex Serif" w:hAnsi="IBM Plex Serif"/>
              </w:rPr>
              <w:t>as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well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as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protecting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natural</w:t>
            </w:r>
            <w:proofErr w:type="spellEnd"/>
            <w:r w:rsidRPr="005A76D6">
              <w:rPr>
                <w:rFonts w:ascii="IBM Plex Serif" w:hAnsi="IBM Plex Serif"/>
              </w:rPr>
              <w:t xml:space="preserve"> and man-</w:t>
            </w:r>
            <w:proofErr w:type="spellStart"/>
            <w:r w:rsidRPr="005A76D6">
              <w:rPr>
                <w:rFonts w:ascii="IBM Plex Serif" w:hAnsi="IBM Plex Serif"/>
              </w:rPr>
              <w:t>made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environment</w:t>
            </w:r>
            <w:proofErr w:type="spellEnd"/>
            <w:r w:rsidRPr="005A76D6">
              <w:rPr>
                <w:rFonts w:ascii="IBM Plex Serif" w:hAnsi="IBM Plex Serif"/>
              </w:rPr>
              <w:t>.</w:t>
            </w:r>
          </w:p>
          <w:p w14:paraId="32F4EE7B" w14:textId="77777777" w:rsidR="00C403F2" w:rsidRPr="005A76D6" w:rsidRDefault="00C403F2" w:rsidP="00C403F2">
            <w:pPr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d) </w:t>
            </w:r>
            <w:proofErr w:type="spellStart"/>
            <w:r w:rsidRPr="005A76D6">
              <w:rPr>
                <w:rFonts w:ascii="IBM Plex Serif" w:hAnsi="IBM Plex Serif"/>
              </w:rPr>
              <w:t>autonomy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responsibility</w:t>
            </w:r>
            <w:proofErr w:type="spellEnd"/>
          </w:p>
          <w:p w14:paraId="796DAC16" w14:textId="77777777" w:rsidR="00C403F2" w:rsidRPr="005A76D6" w:rsidRDefault="00C403F2" w:rsidP="00C403F2">
            <w:pPr>
              <w:ind w:left="417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- F1 - </w:t>
            </w:r>
            <w:proofErr w:type="spellStart"/>
            <w:r w:rsidRPr="005A76D6">
              <w:rPr>
                <w:rFonts w:ascii="IBM Plex Serif" w:hAnsi="IBM Plex Serif"/>
              </w:rPr>
              <w:t>Demonstrates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capacity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to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independently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solve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waste</w:t>
            </w:r>
            <w:proofErr w:type="spellEnd"/>
            <w:r w:rsidRPr="005A76D6">
              <w:rPr>
                <w:rFonts w:ascii="IBM Plex Serif" w:hAnsi="IBM Plex Serif"/>
              </w:rPr>
              <w:t xml:space="preserve"> management </w:t>
            </w:r>
            <w:proofErr w:type="spellStart"/>
            <w:r w:rsidRPr="005A76D6">
              <w:rPr>
                <w:rFonts w:ascii="IBM Plex Serif" w:hAnsi="IBM Plex Serif"/>
              </w:rPr>
              <w:t>engineering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problems</w:t>
            </w:r>
            <w:proofErr w:type="spellEnd"/>
            <w:r w:rsidRPr="005A76D6">
              <w:rPr>
                <w:rFonts w:ascii="IBM Plex Serif" w:hAnsi="IBM Plex Serif"/>
              </w:rPr>
              <w:t xml:space="preserve">, </w:t>
            </w:r>
            <w:proofErr w:type="spellStart"/>
            <w:r w:rsidRPr="005A76D6">
              <w:rPr>
                <w:rFonts w:ascii="IBM Plex Serif" w:hAnsi="IBM Plex Serif"/>
              </w:rPr>
              <w:t>making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decisions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independently</w:t>
            </w:r>
            <w:proofErr w:type="spellEnd"/>
            <w:r w:rsidRPr="005A76D6">
              <w:rPr>
                <w:rFonts w:ascii="IBM Plex Serif" w:hAnsi="IBM Plex Serif"/>
              </w:rPr>
              <w:t xml:space="preserve"> in </w:t>
            </w:r>
            <w:proofErr w:type="spellStart"/>
            <w:r w:rsidRPr="005A76D6">
              <w:rPr>
                <w:rFonts w:ascii="IBM Plex Serif" w:hAnsi="IBM Plex Serif"/>
              </w:rPr>
              <w:t>consultation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with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legal</w:t>
            </w:r>
            <w:proofErr w:type="spellEnd"/>
            <w:r w:rsidRPr="005A76D6">
              <w:rPr>
                <w:rFonts w:ascii="IBM Plex Serif" w:hAnsi="IBM Plex Serif"/>
              </w:rPr>
              <w:t xml:space="preserve">, </w:t>
            </w:r>
            <w:proofErr w:type="spellStart"/>
            <w:r w:rsidRPr="005A76D6">
              <w:rPr>
                <w:rFonts w:ascii="IBM Plex Serif" w:hAnsi="IBM Plex Serif"/>
              </w:rPr>
              <w:t>economic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environmental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experts</w:t>
            </w:r>
            <w:proofErr w:type="spellEnd"/>
            <w:r w:rsidRPr="005A76D6">
              <w:rPr>
                <w:rFonts w:ascii="IBM Plex Serif" w:hAnsi="IBM Plex Serif"/>
              </w:rPr>
              <w:t xml:space="preserve">, and </w:t>
            </w:r>
            <w:proofErr w:type="spellStart"/>
            <w:r w:rsidRPr="005A76D6">
              <w:rPr>
                <w:rFonts w:ascii="IBM Plex Serif" w:hAnsi="IBM Plex Serif"/>
              </w:rPr>
              <w:t>assuming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responsibility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for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them</w:t>
            </w:r>
            <w:proofErr w:type="spellEnd"/>
            <w:r w:rsidRPr="005A76D6">
              <w:rPr>
                <w:rFonts w:ascii="IBM Plex Serif" w:hAnsi="IBM Plex Serif"/>
              </w:rPr>
              <w:t>.</w:t>
            </w:r>
          </w:p>
          <w:p w14:paraId="7F6FCC2A" w14:textId="77777777" w:rsidR="00C403F2" w:rsidRPr="005A76D6" w:rsidRDefault="00C403F2" w:rsidP="00C403F2">
            <w:pPr>
              <w:ind w:left="417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- F2 - </w:t>
            </w:r>
            <w:proofErr w:type="spellStart"/>
            <w:r w:rsidRPr="005A76D6">
              <w:rPr>
                <w:rFonts w:ascii="IBM Plex Serif" w:hAnsi="IBM Plex Serif"/>
              </w:rPr>
              <w:t>Accepts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responsibility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for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conclusions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reached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professional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judgements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made</w:t>
            </w:r>
            <w:proofErr w:type="spellEnd"/>
            <w:r w:rsidRPr="005A76D6">
              <w:rPr>
                <w:rFonts w:ascii="IBM Plex Serif" w:hAnsi="IBM Plex Serif"/>
              </w:rPr>
              <w:t xml:space="preserve"> in </w:t>
            </w:r>
            <w:proofErr w:type="spellStart"/>
            <w:r w:rsidRPr="005A76D6">
              <w:rPr>
                <w:rFonts w:ascii="IBM Plex Serif" w:hAnsi="IBM Plex Serif"/>
              </w:rPr>
              <w:t>his</w:t>
            </w:r>
            <w:proofErr w:type="spellEnd"/>
            <w:r w:rsidRPr="005A76D6">
              <w:rPr>
                <w:rFonts w:ascii="IBM Plex Serif" w:hAnsi="IBM Plex Serif"/>
              </w:rPr>
              <w:t>/</w:t>
            </w:r>
            <w:proofErr w:type="spellStart"/>
            <w:r w:rsidRPr="005A76D6">
              <w:rPr>
                <w:rFonts w:ascii="IBM Plex Serif" w:hAnsi="IBM Plex Serif"/>
              </w:rPr>
              <w:t>her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opinion</w:t>
            </w:r>
            <w:proofErr w:type="spellEnd"/>
            <w:r w:rsidRPr="005A76D6">
              <w:rPr>
                <w:rFonts w:ascii="IBM Plex Serif" w:hAnsi="IBM Plex Serif"/>
              </w:rPr>
              <w:t xml:space="preserve">, </w:t>
            </w:r>
            <w:proofErr w:type="spellStart"/>
            <w:r w:rsidRPr="005A76D6">
              <w:rPr>
                <w:rFonts w:ascii="IBM Plex Serif" w:hAnsi="IBM Plex Serif"/>
              </w:rPr>
              <w:t>as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well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as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for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the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work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carried</w:t>
            </w:r>
            <w:proofErr w:type="spellEnd"/>
            <w:r w:rsidRPr="005A76D6">
              <w:rPr>
                <w:rFonts w:ascii="IBM Plex Serif" w:hAnsi="IBM Plex Serif"/>
              </w:rPr>
              <w:t xml:space="preserve"> out </w:t>
            </w:r>
            <w:proofErr w:type="spellStart"/>
            <w:r w:rsidRPr="005A76D6">
              <w:rPr>
                <w:rFonts w:ascii="IBM Plex Serif" w:hAnsi="IBM Plex Serif"/>
              </w:rPr>
              <w:t>by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him</w:t>
            </w:r>
            <w:proofErr w:type="spellEnd"/>
            <w:r w:rsidRPr="005A76D6">
              <w:rPr>
                <w:rFonts w:ascii="IBM Plex Serif" w:hAnsi="IBM Plex Serif"/>
              </w:rPr>
              <w:t>/</w:t>
            </w:r>
            <w:proofErr w:type="spellStart"/>
            <w:r w:rsidRPr="005A76D6">
              <w:rPr>
                <w:rFonts w:ascii="IBM Plex Serif" w:hAnsi="IBM Plex Serif"/>
              </w:rPr>
              <w:t>her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or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under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his</w:t>
            </w:r>
            <w:proofErr w:type="spellEnd"/>
            <w:r w:rsidRPr="005A76D6">
              <w:rPr>
                <w:rFonts w:ascii="IBM Plex Serif" w:hAnsi="IBM Plex Serif"/>
              </w:rPr>
              <w:t>/</w:t>
            </w:r>
            <w:proofErr w:type="spellStart"/>
            <w:r w:rsidRPr="005A76D6">
              <w:rPr>
                <w:rFonts w:ascii="IBM Plex Serif" w:hAnsi="IBM Plex Serif"/>
              </w:rPr>
              <w:t>her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supervision</w:t>
            </w:r>
            <w:proofErr w:type="spellEnd"/>
            <w:r w:rsidRPr="005A76D6">
              <w:rPr>
                <w:rFonts w:ascii="IBM Plex Serif" w:hAnsi="IBM Plex Serif"/>
              </w:rPr>
              <w:t>.</w:t>
            </w:r>
          </w:p>
        </w:tc>
      </w:tr>
      <w:tr w:rsidR="000214FF" w:rsidRPr="005A76D6" w14:paraId="2FC8AF45" w14:textId="77777777" w:rsidTr="00CA79A8">
        <w:trPr>
          <w:cantSplit/>
        </w:trPr>
        <w:tc>
          <w:tcPr>
            <w:tcW w:w="9624" w:type="dxa"/>
            <w:gridSpan w:val="15"/>
            <w:tcBorders>
              <w:bottom w:val="single" w:sz="6" w:space="0" w:color="auto"/>
            </w:tcBorders>
            <w:shd w:val="clear" w:color="auto" w:fill="BDD6EE" w:themeFill="accent1" w:themeFillTint="66"/>
          </w:tcPr>
          <w:p w14:paraId="1747926A" w14:textId="77777777" w:rsidR="000214FF" w:rsidRPr="005A76D6" w:rsidRDefault="00105117" w:rsidP="00105117">
            <w:pPr>
              <w:jc w:val="center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  <w:b/>
                <w:bCs/>
              </w:rPr>
              <w:t>Tantárgy tartalma, elsajátítandó ismeretanyag tömör, informáló leírása</w:t>
            </w:r>
            <w:r w:rsidR="00087B74" w:rsidRPr="005A76D6">
              <w:rPr>
                <w:rFonts w:ascii="IBM Plex Serif" w:hAnsi="IBM Plex Serif"/>
                <w:b/>
                <w:bCs/>
                <w:vertAlign w:val="superscript"/>
              </w:rPr>
              <w:t>9</w:t>
            </w:r>
            <w:r w:rsidRPr="005A76D6">
              <w:rPr>
                <w:rFonts w:ascii="IBM Plex Serif" w:hAnsi="IBM Plex Serif"/>
                <w:b/>
                <w:bCs/>
              </w:rPr>
              <w:t>:</w:t>
            </w:r>
          </w:p>
        </w:tc>
      </w:tr>
      <w:tr w:rsidR="00DA34DC" w:rsidRPr="005A76D6" w14:paraId="4F9924E3" w14:textId="77777777" w:rsidTr="00CA79A8">
        <w:trPr>
          <w:cantSplit/>
        </w:trPr>
        <w:tc>
          <w:tcPr>
            <w:tcW w:w="1403" w:type="dxa"/>
            <w:tcBorders>
              <w:top w:val="single" w:sz="6" w:space="0" w:color="auto"/>
            </w:tcBorders>
          </w:tcPr>
          <w:p w14:paraId="40F8BDD6" w14:textId="77777777" w:rsidR="00DA34DC" w:rsidRPr="005A76D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  <w:tcBorders>
              <w:top w:val="single" w:sz="6" w:space="0" w:color="auto"/>
            </w:tcBorders>
          </w:tcPr>
          <w:p w14:paraId="15894D77" w14:textId="1BFAA23F" w:rsidR="0036200B" w:rsidRDefault="00C403F2" w:rsidP="009406AC">
            <w:pPr>
              <w:suppressAutoHyphens/>
              <w:autoSpaceDE/>
              <w:autoSpaceDN/>
              <w:ind w:left="70" w:hanging="7"/>
              <w:jc w:val="left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A tárgy célja, hogy a hallgató megismerje</w:t>
            </w:r>
            <w:r w:rsidR="0036200B">
              <w:rPr>
                <w:rFonts w:ascii="IBM Plex Serif" w:hAnsi="IBM Plex Serif"/>
              </w:rPr>
              <w:t xml:space="preserve"> r</w:t>
            </w:r>
            <w:r w:rsidR="0036200B" w:rsidRPr="00DF40BA">
              <w:rPr>
                <w:rFonts w:ascii="IBM Plex Serif" w:hAnsi="IBM Plex Serif"/>
              </w:rPr>
              <w:t>ekultiváció fogalm</w:t>
            </w:r>
            <w:r w:rsidR="0036200B">
              <w:rPr>
                <w:rFonts w:ascii="IBM Plex Serif" w:hAnsi="IBM Plex Serif"/>
              </w:rPr>
              <w:t>át</w:t>
            </w:r>
            <w:r w:rsidR="0036200B" w:rsidRPr="00DF40BA">
              <w:rPr>
                <w:rFonts w:ascii="IBM Plex Serif" w:hAnsi="IBM Plex Serif"/>
              </w:rPr>
              <w:t>, tárgykör</w:t>
            </w:r>
            <w:r w:rsidR="0036200B">
              <w:rPr>
                <w:rFonts w:ascii="IBM Plex Serif" w:hAnsi="IBM Plex Serif"/>
              </w:rPr>
              <w:t>ét, jogszabályi hátterét</w:t>
            </w:r>
            <w:r w:rsidR="00526D1D">
              <w:rPr>
                <w:rFonts w:ascii="IBM Plex Serif" w:hAnsi="IBM Plex Serif"/>
              </w:rPr>
              <w:t xml:space="preserve">, a hulladéklerakók típusait, továbbá a hulladéklerakó létesítésének lépéseit, kialakításának műszaki megoldásait. A depóművelés felhagyását követő rekultivációs feladatokat, az ahoz használt műszaki anyagokat, szigetelési rétegrendeket, valamint a rekultiváció egy, illetve két ütemű megvalósítását, a </w:t>
            </w:r>
            <w:proofErr w:type="spellStart"/>
            <w:r w:rsidR="00526D1D">
              <w:rPr>
                <w:rFonts w:ascii="IBM Plex Serif" w:hAnsi="IBM Plex Serif"/>
              </w:rPr>
              <w:t>rekultivált</w:t>
            </w:r>
            <w:proofErr w:type="spellEnd"/>
            <w:r w:rsidR="00526D1D">
              <w:rPr>
                <w:rFonts w:ascii="IBM Plex Serif" w:hAnsi="IBM Plex Serif"/>
              </w:rPr>
              <w:t xml:space="preserve"> terület hasznosításának lehetőségeit.</w:t>
            </w:r>
          </w:p>
          <w:p w14:paraId="2197976E" w14:textId="0C1D055C" w:rsidR="00DA34DC" w:rsidRPr="005A76D6" w:rsidRDefault="00526D1D" w:rsidP="009406AC">
            <w:pPr>
              <w:suppressAutoHyphens/>
              <w:autoSpaceDE/>
              <w:autoSpaceDN/>
              <w:jc w:val="left"/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 xml:space="preserve">Kármentesítési feladatok kapcsán ismerje </w:t>
            </w:r>
            <w:r w:rsidR="00C403F2" w:rsidRPr="005A76D6">
              <w:rPr>
                <w:rFonts w:ascii="IBM Plex Serif" w:hAnsi="IBM Plex Serif"/>
              </w:rPr>
              <w:t xml:space="preserve">és alkalmazza a releváns talajkémiai ismereteket, a környezetvédelmi kármentesítési eljárásokat és módszereket (ex szitu, in szitu fizikai, kémiai, termikus, biológiai és kombinált módszerek). Ismerje a talajtani közeg és felszín alatti vizek hazai műszaki kárelhárítási jogszabályi környezetét.  Képes legyen a környezetvédelmi kárelhárítási módszerek alkalmazására és részt venni kárelhárítási folyamatokban.  </w:t>
            </w:r>
          </w:p>
        </w:tc>
      </w:tr>
      <w:tr w:rsidR="00DA34DC" w:rsidRPr="005A76D6" w14:paraId="5ADC875D" w14:textId="77777777" w:rsidTr="00CA79A8">
        <w:trPr>
          <w:cantSplit/>
        </w:trPr>
        <w:tc>
          <w:tcPr>
            <w:tcW w:w="1403" w:type="dxa"/>
          </w:tcPr>
          <w:p w14:paraId="4128EEB5" w14:textId="77777777" w:rsidR="00DA34DC" w:rsidRPr="005A76D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lastRenderedPageBreak/>
              <w:t>angolul</w:t>
            </w:r>
          </w:p>
        </w:tc>
        <w:tc>
          <w:tcPr>
            <w:tcW w:w="8221" w:type="dxa"/>
            <w:gridSpan w:val="14"/>
          </w:tcPr>
          <w:p w14:paraId="310EF9EC" w14:textId="541CA92F" w:rsidR="00526D1D" w:rsidRPr="00526D1D" w:rsidRDefault="00526D1D" w:rsidP="00526D1D">
            <w:pPr>
              <w:rPr>
                <w:rFonts w:ascii="IBM Plex Serif" w:hAnsi="IBM Plex Serif"/>
                <w:bCs/>
              </w:rPr>
            </w:pPr>
            <w:r w:rsidRPr="00526D1D">
              <w:rPr>
                <w:rFonts w:ascii="IBM Plex Serif" w:hAnsi="IBM Plex Serif"/>
                <w:bCs/>
              </w:rPr>
              <w:t xml:space="preserve">The </w:t>
            </w:r>
            <w:proofErr w:type="spellStart"/>
            <w:r>
              <w:rPr>
                <w:rFonts w:ascii="IBM Plex Serif" w:hAnsi="IBM Plex Serif"/>
                <w:bCs/>
              </w:rPr>
              <w:t>subject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subject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to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learn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about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concept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26D1D">
              <w:rPr>
                <w:rFonts w:ascii="IBM Plex Serif" w:hAnsi="IBM Plex Serif"/>
                <w:bCs/>
              </w:rPr>
              <w:t>reclamation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its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scope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legal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background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types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26D1D">
              <w:rPr>
                <w:rFonts w:ascii="IBM Plex Serif" w:hAnsi="IBM Plex Serif"/>
                <w:bCs/>
              </w:rPr>
              <w:t>landfills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as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well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as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steps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26D1D">
              <w:rPr>
                <w:rFonts w:ascii="IBM Plex Serif" w:hAnsi="IBM Plex Serif"/>
                <w:bCs/>
              </w:rPr>
              <w:t>establishing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526D1D">
              <w:rPr>
                <w:rFonts w:ascii="IBM Plex Serif" w:hAnsi="IBM Plex Serif"/>
                <w:bCs/>
              </w:rPr>
              <w:t>landfill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and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technical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solutions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for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its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design. </w:t>
            </w:r>
            <w:proofErr w:type="spellStart"/>
            <w:r w:rsidRPr="00526D1D">
              <w:rPr>
                <w:rFonts w:ascii="IBM Plex Serif" w:hAnsi="IBM Plex Serif"/>
                <w:bCs/>
              </w:rPr>
              <w:t>Recultivation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tasks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following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cessation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26D1D">
              <w:rPr>
                <w:rFonts w:ascii="IBM Plex Serif" w:hAnsi="IBM Plex Serif"/>
                <w:bCs/>
              </w:rPr>
              <w:t>landfill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operation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technical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materials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used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for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this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insulation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layer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systems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as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well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as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implementation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26D1D">
              <w:rPr>
                <w:rFonts w:ascii="IBM Plex Serif" w:hAnsi="IBM Plex Serif"/>
                <w:bCs/>
              </w:rPr>
              <w:t>recultivation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in </w:t>
            </w:r>
            <w:proofErr w:type="spellStart"/>
            <w:r w:rsidRPr="00526D1D">
              <w:rPr>
                <w:rFonts w:ascii="IBM Plex Serif" w:hAnsi="IBM Plex Serif"/>
                <w:bCs/>
              </w:rPr>
              <w:t>one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or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two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stages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and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possibilities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26D1D">
              <w:rPr>
                <w:rFonts w:ascii="IBM Plex Serif" w:hAnsi="IBM Plex Serif"/>
                <w:bCs/>
              </w:rPr>
              <w:t>utilizing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reclaimed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area</w:t>
            </w:r>
            <w:proofErr w:type="spellEnd"/>
            <w:r w:rsidRPr="00526D1D">
              <w:rPr>
                <w:rFonts w:ascii="IBM Plex Serif" w:hAnsi="IBM Plex Serif"/>
                <w:bCs/>
              </w:rPr>
              <w:t>.</w:t>
            </w:r>
          </w:p>
          <w:p w14:paraId="5A5A7237" w14:textId="5AB863D7" w:rsidR="00DA34DC" w:rsidRPr="005A76D6" w:rsidRDefault="00526D1D" w:rsidP="00526D1D">
            <w:pPr>
              <w:rPr>
                <w:rFonts w:ascii="IBM Plex Serif" w:hAnsi="IBM Plex Serif"/>
                <w:bCs/>
              </w:rPr>
            </w:pPr>
            <w:r w:rsidRPr="00526D1D">
              <w:rPr>
                <w:rFonts w:ascii="IBM Plex Serif" w:hAnsi="IBM Plex Serif"/>
                <w:bCs/>
              </w:rPr>
              <w:t xml:space="preserve">In </w:t>
            </w:r>
            <w:proofErr w:type="spellStart"/>
            <w:r w:rsidRPr="00526D1D">
              <w:rPr>
                <w:rFonts w:ascii="IBM Plex Serif" w:hAnsi="IBM Plex Serif"/>
                <w:bCs/>
              </w:rPr>
              <w:t>connection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with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remediation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tasks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student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should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know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26D1D">
              <w:rPr>
                <w:rFonts w:ascii="IBM Plex Serif" w:hAnsi="IBM Plex Serif"/>
                <w:bCs/>
              </w:rPr>
              <w:t>apply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relevant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soil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chemistry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knowledge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environmental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remediation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procedures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26D1D">
              <w:rPr>
                <w:rFonts w:ascii="IBM Plex Serif" w:hAnsi="IBM Plex Serif"/>
                <w:bCs/>
              </w:rPr>
              <w:t>methods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(ex situ, in situ </w:t>
            </w:r>
            <w:proofErr w:type="spellStart"/>
            <w:r w:rsidRPr="00526D1D">
              <w:rPr>
                <w:rFonts w:ascii="IBM Plex Serif" w:hAnsi="IBM Plex Serif"/>
                <w:bCs/>
              </w:rPr>
              <w:t>physical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chemical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thermal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, </w:t>
            </w:r>
            <w:proofErr w:type="spellStart"/>
            <w:r w:rsidRPr="00526D1D">
              <w:rPr>
                <w:rFonts w:ascii="IBM Plex Serif" w:hAnsi="IBM Plex Serif"/>
                <w:bCs/>
              </w:rPr>
              <w:t>biological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26D1D">
              <w:rPr>
                <w:rFonts w:ascii="IBM Plex Serif" w:hAnsi="IBM Plex Serif"/>
                <w:bCs/>
              </w:rPr>
              <w:t>combined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methods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). The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student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should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be </w:t>
            </w:r>
            <w:proofErr w:type="spellStart"/>
            <w:r w:rsidRPr="00526D1D">
              <w:rPr>
                <w:rFonts w:ascii="IBM Plex Serif" w:hAnsi="IBM Plex Serif"/>
                <w:bCs/>
              </w:rPr>
              <w:t>familiar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with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domestic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technical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damage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prevention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legal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environment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of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the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soil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environment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26D1D">
              <w:rPr>
                <w:rFonts w:ascii="IBM Plex Serif" w:hAnsi="IBM Plex Serif"/>
                <w:bCs/>
              </w:rPr>
              <w:t>groundwater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. The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student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should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be </w:t>
            </w:r>
            <w:proofErr w:type="spellStart"/>
            <w:r w:rsidRPr="00526D1D">
              <w:rPr>
                <w:rFonts w:ascii="IBM Plex Serif" w:hAnsi="IBM Plex Serif"/>
                <w:bCs/>
              </w:rPr>
              <w:t>able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to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apply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environmental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damage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prevention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methods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26D1D">
              <w:rPr>
                <w:rFonts w:ascii="IBM Plex Serif" w:hAnsi="IBM Plex Serif"/>
                <w:bCs/>
              </w:rPr>
              <w:t>participate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in </w:t>
            </w:r>
            <w:proofErr w:type="spellStart"/>
            <w:r w:rsidRPr="00526D1D">
              <w:rPr>
                <w:rFonts w:ascii="IBM Plex Serif" w:hAnsi="IBM Plex Serif"/>
                <w:bCs/>
              </w:rPr>
              <w:t>damage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prevention</w:t>
            </w:r>
            <w:proofErr w:type="spellEnd"/>
            <w:r w:rsidRPr="00526D1D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26D1D">
              <w:rPr>
                <w:rFonts w:ascii="IBM Plex Serif" w:hAnsi="IBM Plex Serif"/>
                <w:bCs/>
              </w:rPr>
              <w:t>processes</w:t>
            </w:r>
            <w:proofErr w:type="spellEnd"/>
            <w:r w:rsidRPr="00526D1D">
              <w:rPr>
                <w:rFonts w:ascii="IBM Plex Serif" w:hAnsi="IBM Plex Serif"/>
                <w:bCs/>
              </w:rPr>
              <w:t>.</w:t>
            </w:r>
          </w:p>
        </w:tc>
      </w:tr>
      <w:tr w:rsidR="00DA34DC" w:rsidRPr="005A76D6" w14:paraId="4ED720AA" w14:textId="77777777" w:rsidTr="00CA7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941DD64" w14:textId="77777777" w:rsidR="00DA34DC" w:rsidRPr="005A76D6" w:rsidRDefault="00DA34DC" w:rsidP="00DA34DC">
            <w:pPr>
              <w:jc w:val="center"/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Számonkérési és értékelési rendszer</w:t>
            </w:r>
          </w:p>
        </w:tc>
      </w:tr>
      <w:tr w:rsidR="00DA34DC" w:rsidRPr="005A76D6" w14:paraId="44540A73" w14:textId="77777777" w:rsidTr="00CA7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E0D03B5" w14:textId="77777777" w:rsidR="00DA34DC" w:rsidRPr="005A76D6" w:rsidRDefault="00DA34DC" w:rsidP="00DA34DC">
            <w:pPr>
              <w:jc w:val="center"/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Számonkérés módja</w:t>
            </w:r>
            <w:r w:rsidRPr="005A76D6">
              <w:rPr>
                <w:rStyle w:val="Lbjegyzet-hivatkozs"/>
                <w:rFonts w:ascii="IBM Plex Serif" w:hAnsi="IBM Plex Serif"/>
                <w:b/>
                <w:bCs/>
              </w:rPr>
              <w:t>10</w:t>
            </w:r>
          </w:p>
        </w:tc>
      </w:tr>
      <w:tr w:rsidR="00DA34DC" w:rsidRPr="005A76D6" w14:paraId="33FFD8BF" w14:textId="77777777" w:rsidTr="00903D23">
        <w:trPr>
          <w:cantSplit/>
        </w:trPr>
        <w:tc>
          <w:tcPr>
            <w:tcW w:w="1403" w:type="dxa"/>
          </w:tcPr>
          <w:p w14:paraId="6721B37E" w14:textId="77777777" w:rsidR="00DA34DC" w:rsidRPr="005A76D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magyarul</w:t>
            </w:r>
          </w:p>
        </w:tc>
        <w:tc>
          <w:tcPr>
            <w:tcW w:w="8221" w:type="dxa"/>
            <w:gridSpan w:val="14"/>
            <w:shd w:val="clear" w:color="auto" w:fill="auto"/>
          </w:tcPr>
          <w:p w14:paraId="12EFE130" w14:textId="77777777" w:rsidR="00B73341" w:rsidRDefault="00903D23" w:rsidP="00B73341">
            <w:pPr>
              <w:rPr>
                <w:rFonts w:ascii="IBM Plex Serif" w:hAnsi="IBM Plex Serif"/>
              </w:rPr>
            </w:pPr>
            <w:r>
              <w:rPr>
                <w:rFonts w:ascii="IBM Plex Serif" w:hAnsi="IBM Plex Serif"/>
              </w:rPr>
              <w:t>F</w:t>
            </w:r>
            <w:r w:rsidR="00C403F2" w:rsidRPr="005A76D6">
              <w:rPr>
                <w:rFonts w:ascii="IBM Plex Serif" w:hAnsi="IBM Plex Serif"/>
              </w:rPr>
              <w:t>élévközi és vizsgaidőszakon belüli számonkérés kombinációja</w:t>
            </w:r>
            <w:r>
              <w:rPr>
                <w:rFonts w:ascii="IBM Plex Serif" w:hAnsi="IBM Plex Serif"/>
              </w:rPr>
              <w:t>.</w:t>
            </w:r>
          </w:p>
          <w:p w14:paraId="179E9DF2" w14:textId="77777777" w:rsidR="00903D23" w:rsidRPr="00903D23" w:rsidRDefault="00903D23" w:rsidP="00903D23">
            <w:pPr>
              <w:rPr>
                <w:rFonts w:ascii="Playfair Display" w:hAnsi="Playfair Display"/>
              </w:rPr>
            </w:pPr>
            <w:r w:rsidRPr="00903D23">
              <w:rPr>
                <w:rFonts w:ascii="Playfair Display" w:hAnsi="Playfair Display"/>
              </w:rPr>
              <w:t>Jeles (5) osztályzatot kap az a hallgató, aki a teljes anyagot alaposan és összefüggéseiben ismeri és ismereteit önállóan, biztosan alkalmazza.</w:t>
            </w:r>
          </w:p>
          <w:p w14:paraId="3B1E0689" w14:textId="77777777" w:rsidR="00903D23" w:rsidRPr="00903D23" w:rsidRDefault="00903D23" w:rsidP="00903D23">
            <w:pPr>
              <w:rPr>
                <w:rFonts w:ascii="Playfair Display" w:hAnsi="Playfair Display"/>
              </w:rPr>
            </w:pPr>
            <w:r w:rsidRPr="00903D23">
              <w:rPr>
                <w:rFonts w:ascii="Playfair Display" w:hAnsi="Playfair Display"/>
              </w:rPr>
              <w:t>Jó (4) osztályzatot kap az a hallgató, aki a teljes anyagot alaposan ismeri és ismereteit biztonsággal alkalmazza.</w:t>
            </w:r>
          </w:p>
          <w:p w14:paraId="09ED8366" w14:textId="77777777" w:rsidR="00903D23" w:rsidRPr="00903D23" w:rsidRDefault="00903D23" w:rsidP="00903D23">
            <w:pPr>
              <w:rPr>
                <w:rFonts w:ascii="Playfair Display" w:hAnsi="Playfair Display"/>
              </w:rPr>
            </w:pPr>
            <w:r w:rsidRPr="00903D23">
              <w:rPr>
                <w:rFonts w:ascii="Playfair Display" w:hAnsi="Playfair Display"/>
              </w:rPr>
              <w:t>Közepes (3) osztályzatot kap az a hallgató, aki az anyag lényeges részeit jól ismeri és ismereteit megfelelő biztonsággal alkalmazza.</w:t>
            </w:r>
          </w:p>
          <w:p w14:paraId="77D69A6C" w14:textId="77777777" w:rsidR="00903D23" w:rsidRPr="00903D23" w:rsidRDefault="00903D23" w:rsidP="00903D23">
            <w:pPr>
              <w:rPr>
                <w:rFonts w:ascii="Playfair Display" w:hAnsi="Playfair Display"/>
              </w:rPr>
            </w:pPr>
            <w:r w:rsidRPr="00903D23">
              <w:rPr>
                <w:rFonts w:ascii="Playfair Display" w:hAnsi="Playfair Display"/>
              </w:rPr>
              <w:t>Elégséges (2) osztályzatot kap az a hallgató, aki az anyag lényeges részeit elfogadható módon ismeri és az ismeretek alkalmazásában elfogadható jártasságot mutat.</w:t>
            </w:r>
          </w:p>
          <w:p w14:paraId="7EEF0E2D" w14:textId="77777777" w:rsidR="005D780E" w:rsidRPr="005A76D6" w:rsidRDefault="00903D23" w:rsidP="00903D23">
            <w:pPr>
              <w:rPr>
                <w:rFonts w:ascii="IBM Plex Serif" w:hAnsi="IBM Plex Serif"/>
                <w:b/>
                <w:bCs/>
              </w:rPr>
            </w:pPr>
            <w:r w:rsidRPr="00903D23">
              <w:rPr>
                <w:rFonts w:ascii="Playfair Display" w:hAnsi="Playfair Display"/>
              </w:rPr>
              <w:t xml:space="preserve">Elégtelen (1) osztályzatot kap az a hallgató, aki a </w:t>
            </w:r>
            <w:proofErr w:type="spellStart"/>
            <w:r w:rsidRPr="00903D23">
              <w:rPr>
                <w:rFonts w:ascii="Playfair Display" w:hAnsi="Playfair Display"/>
              </w:rPr>
              <w:t>továbbhaladáshoz</w:t>
            </w:r>
            <w:proofErr w:type="spellEnd"/>
            <w:r w:rsidRPr="00903D23">
              <w:rPr>
                <w:rFonts w:ascii="Playfair Display" w:hAnsi="Playfair Display"/>
              </w:rPr>
              <w:t>, illetve szakmájának gyakorlásához feltétlenül szükséges elméleti és gyakorlati ismeretekkel nem rendelkezik.</w:t>
            </w:r>
          </w:p>
        </w:tc>
      </w:tr>
      <w:tr w:rsidR="00DA34DC" w:rsidRPr="005A76D6" w14:paraId="0956BD7F" w14:textId="77777777" w:rsidTr="00CA79A8">
        <w:trPr>
          <w:cantSplit/>
        </w:trPr>
        <w:tc>
          <w:tcPr>
            <w:tcW w:w="1403" w:type="dxa"/>
          </w:tcPr>
          <w:p w14:paraId="792AEFB9" w14:textId="77777777" w:rsidR="00DA34DC" w:rsidRPr="005A76D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221" w:type="dxa"/>
            <w:gridSpan w:val="14"/>
          </w:tcPr>
          <w:p w14:paraId="7F3B9253" w14:textId="77777777" w:rsidR="00DA34DC" w:rsidRDefault="00C403F2" w:rsidP="00C403F2">
            <w:pPr>
              <w:tabs>
                <w:tab w:val="left" w:pos="6552"/>
              </w:tabs>
              <w:rPr>
                <w:rFonts w:ascii="IBM Plex Serif" w:hAnsi="IBM Plex Serif"/>
                <w:bCs/>
              </w:rPr>
            </w:pPr>
            <w:r w:rsidRPr="005A76D6">
              <w:rPr>
                <w:rFonts w:ascii="IBM Plex Serif" w:hAnsi="IBM Plex Serif"/>
                <w:bCs/>
              </w:rPr>
              <w:t xml:space="preserve">The </w:t>
            </w:r>
            <w:proofErr w:type="spellStart"/>
            <w:r w:rsidRPr="005A76D6">
              <w:rPr>
                <w:rFonts w:ascii="IBM Plex Serif" w:hAnsi="IBM Plex Serif"/>
                <w:bCs/>
              </w:rPr>
              <w:t>assessment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  <w:bCs/>
              </w:rPr>
              <w:t>comprises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Pr="005A76D6">
              <w:rPr>
                <w:rFonts w:ascii="IBM Plex Serif" w:hAnsi="IBM Plex Serif"/>
                <w:bCs/>
              </w:rPr>
              <w:t>combination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of mid-</w:t>
            </w:r>
            <w:proofErr w:type="spellStart"/>
            <w:r w:rsidRPr="005A76D6">
              <w:rPr>
                <w:rFonts w:ascii="IBM Plex Serif" w:hAnsi="IBM Plex Serif"/>
                <w:bCs/>
              </w:rPr>
              <w:t>semester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and mid-</w:t>
            </w:r>
            <w:proofErr w:type="spellStart"/>
            <w:r w:rsidRPr="005A76D6">
              <w:rPr>
                <w:rFonts w:ascii="IBM Plex Serif" w:hAnsi="IBM Plex Serif"/>
                <w:bCs/>
              </w:rPr>
              <w:t>term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  <w:bCs/>
              </w:rPr>
              <w:t>examinations</w:t>
            </w:r>
            <w:proofErr w:type="spellEnd"/>
            <w:r w:rsidRPr="005A76D6">
              <w:rPr>
                <w:rFonts w:ascii="IBM Plex Serif" w:hAnsi="IBM Plex Serif"/>
                <w:bCs/>
              </w:rPr>
              <w:t>.</w:t>
            </w:r>
          </w:p>
          <w:p w14:paraId="2B697FC0" w14:textId="77777777" w:rsidR="00903D23" w:rsidRPr="005A76D6" w:rsidRDefault="00903D23" w:rsidP="00C403F2">
            <w:pPr>
              <w:tabs>
                <w:tab w:val="left" w:pos="6552"/>
              </w:tabs>
              <w:rPr>
                <w:rFonts w:ascii="IBM Plex Serif" w:hAnsi="IBM Plex Serif"/>
                <w:bCs/>
              </w:rPr>
            </w:pPr>
            <w:r>
              <w:t xml:space="preserve">An </w:t>
            </w:r>
            <w:proofErr w:type="spellStart"/>
            <w:r>
              <w:t>excellent</w:t>
            </w:r>
            <w:proofErr w:type="spellEnd"/>
            <w:r>
              <w:t xml:space="preserve"> (5) is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has a </w:t>
            </w:r>
            <w:proofErr w:type="spellStart"/>
            <w:r>
              <w:t>thorough</w:t>
            </w:r>
            <w:proofErr w:type="spellEnd"/>
            <w:r>
              <w:t xml:space="preserve"> and </w:t>
            </w:r>
            <w:proofErr w:type="spellStart"/>
            <w:r>
              <w:t>coherent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of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and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and </w:t>
            </w:r>
            <w:proofErr w:type="spellStart"/>
            <w:r>
              <w:t>confidently</w:t>
            </w:r>
            <w:proofErr w:type="spellEnd"/>
            <w:r>
              <w:t>.</w:t>
            </w:r>
            <w:r>
              <w:br/>
              <w:t xml:space="preserve">A Good (4) is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has a </w:t>
            </w:r>
            <w:proofErr w:type="spellStart"/>
            <w:r>
              <w:t>thorough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and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confidence</w:t>
            </w:r>
            <w:proofErr w:type="spellEnd"/>
            <w:r>
              <w:t>.</w:t>
            </w:r>
            <w:r>
              <w:br/>
              <w:t xml:space="preserve">A </w:t>
            </w:r>
            <w:proofErr w:type="spellStart"/>
            <w:r>
              <w:t>medium</w:t>
            </w:r>
            <w:proofErr w:type="spellEnd"/>
            <w:r>
              <w:t xml:space="preserve"> (3) is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essential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and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confidence</w:t>
            </w:r>
            <w:proofErr w:type="spellEnd"/>
            <w:r>
              <w:t>.</w:t>
            </w:r>
            <w:r>
              <w:br/>
              <w:t xml:space="preserve">A </w:t>
            </w:r>
            <w:proofErr w:type="spellStart"/>
            <w:r>
              <w:t>pass</w:t>
            </w:r>
            <w:proofErr w:type="spellEnd"/>
            <w:r>
              <w:t xml:space="preserve"> (2) is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has an </w:t>
            </w:r>
            <w:proofErr w:type="spellStart"/>
            <w:r>
              <w:t>acceptable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essential</w:t>
            </w:r>
            <w:proofErr w:type="spellEnd"/>
            <w:r>
              <w:t xml:space="preserve"> </w:t>
            </w:r>
            <w:proofErr w:type="spellStart"/>
            <w:r>
              <w:t>parts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and shows an </w:t>
            </w:r>
            <w:proofErr w:type="spellStart"/>
            <w:r>
              <w:t>acceptable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apply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>.</w:t>
            </w:r>
            <w:r>
              <w:br/>
              <w:t xml:space="preserve">A </w:t>
            </w:r>
            <w:proofErr w:type="spellStart"/>
            <w:r>
              <w:t>fail</w:t>
            </w:r>
            <w:proofErr w:type="spellEnd"/>
            <w:r>
              <w:t xml:space="preserve">(1) is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and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essential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and </w:t>
            </w:r>
            <w:proofErr w:type="spellStart"/>
            <w:r>
              <w:t>practice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</w:t>
            </w:r>
            <w:proofErr w:type="spellEnd"/>
            <w:r>
              <w:t>.</w:t>
            </w:r>
          </w:p>
        </w:tc>
      </w:tr>
      <w:tr w:rsidR="00DA34DC" w:rsidRPr="005A76D6" w14:paraId="0F91AFDF" w14:textId="77777777" w:rsidTr="00CA7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B07552" w14:textId="77777777" w:rsidR="00DA34DC" w:rsidRPr="005A76D6" w:rsidRDefault="00DA34DC" w:rsidP="00DA34DC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5A76D6">
              <w:rPr>
                <w:rFonts w:ascii="IBM Plex Serif" w:hAnsi="IBM Plex Serif" w:cs="Arial"/>
                <w:b/>
                <w:bCs/>
                <w:szCs w:val="18"/>
              </w:rPr>
              <w:t>Leckekönyv-aláírási feltételek</w:t>
            </w:r>
            <w:r w:rsidRPr="005A76D6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11</w:t>
            </w:r>
          </w:p>
        </w:tc>
      </w:tr>
      <w:tr w:rsidR="00DA34DC" w:rsidRPr="005A76D6" w14:paraId="180D392A" w14:textId="77777777" w:rsidTr="00CA79A8">
        <w:trPr>
          <w:cantSplit/>
        </w:trPr>
        <w:tc>
          <w:tcPr>
            <w:tcW w:w="1403" w:type="dxa"/>
          </w:tcPr>
          <w:p w14:paraId="6314B2C2" w14:textId="77777777" w:rsidR="00DA34DC" w:rsidRPr="005A76D6" w:rsidRDefault="005A76D6" w:rsidP="00DA34DC">
            <w:pPr>
              <w:rPr>
                <w:rFonts w:ascii="IBM Plex Serif" w:hAnsi="IBM Plex Serif"/>
                <w:b/>
                <w:bCs/>
              </w:rPr>
            </w:pPr>
            <w:r>
              <w:rPr>
                <w:rFonts w:ascii="IBM Plex Serif" w:hAnsi="IBM Plex Serif"/>
                <w:b/>
                <w:bCs/>
              </w:rPr>
              <w:t>m</w:t>
            </w:r>
            <w:r w:rsidR="00DA34DC" w:rsidRPr="005A76D6">
              <w:rPr>
                <w:rFonts w:ascii="IBM Plex Serif" w:hAnsi="IBM Plex Serif"/>
                <w:b/>
                <w:bCs/>
              </w:rPr>
              <w:t>agyarul</w:t>
            </w:r>
          </w:p>
        </w:tc>
        <w:tc>
          <w:tcPr>
            <w:tcW w:w="8221" w:type="dxa"/>
            <w:gridSpan w:val="14"/>
          </w:tcPr>
          <w:p w14:paraId="2C1AB7E3" w14:textId="77777777" w:rsidR="00DA34DC" w:rsidRPr="005A76D6" w:rsidRDefault="00D35F25" w:rsidP="00DA34D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</w:rPr>
              <w:t>Hiányzás HKR szerint</w:t>
            </w:r>
            <w:r w:rsidR="004B62CF" w:rsidRPr="005A76D6">
              <w:rPr>
                <w:rFonts w:ascii="IBM Plex Serif" w:hAnsi="IBM Plex Serif"/>
              </w:rPr>
              <w:t xml:space="preserve">. </w:t>
            </w:r>
            <w:r w:rsidR="00C403F2" w:rsidRPr="005A76D6">
              <w:rPr>
                <w:rFonts w:ascii="IBM Plex Serif" w:hAnsi="IBM Plex Serif"/>
              </w:rPr>
              <w:t>Zárthelyi megírása legalább elégséges (2) érdemjegyre</w:t>
            </w:r>
          </w:p>
        </w:tc>
      </w:tr>
      <w:tr w:rsidR="00DA34DC" w:rsidRPr="005A76D6" w14:paraId="789C8322" w14:textId="77777777" w:rsidTr="00CA79A8">
        <w:trPr>
          <w:cantSplit/>
        </w:trPr>
        <w:tc>
          <w:tcPr>
            <w:tcW w:w="1403" w:type="dxa"/>
          </w:tcPr>
          <w:p w14:paraId="4E56AE7D" w14:textId="77777777" w:rsidR="00DA34DC" w:rsidRPr="005A76D6" w:rsidRDefault="00DA34DC" w:rsidP="00DA34DC">
            <w:pPr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angolul</w:t>
            </w:r>
          </w:p>
        </w:tc>
        <w:tc>
          <w:tcPr>
            <w:tcW w:w="8221" w:type="dxa"/>
            <w:gridSpan w:val="14"/>
          </w:tcPr>
          <w:p w14:paraId="6E70CE05" w14:textId="77777777" w:rsidR="00DA34DC" w:rsidRPr="005A76D6" w:rsidRDefault="005A76D6" w:rsidP="00DA34DC">
            <w:pPr>
              <w:rPr>
                <w:rFonts w:ascii="IBM Plex Serif" w:hAnsi="IBM Plex Serif"/>
                <w:bCs/>
              </w:rPr>
            </w:pPr>
            <w:proofErr w:type="spellStart"/>
            <w:r w:rsidRPr="005A76D6">
              <w:rPr>
                <w:rFonts w:ascii="IBM Plex Serif" w:hAnsi="IBM Plex Serif"/>
                <w:bCs/>
              </w:rPr>
              <w:t>Absence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  <w:bCs/>
              </w:rPr>
              <w:t>according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  <w:bCs/>
              </w:rPr>
              <w:t>to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  <w:bCs/>
              </w:rPr>
              <w:t>the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  <w:bCs/>
              </w:rPr>
              <w:t>Academic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  <w:bCs/>
              </w:rPr>
              <w:t>Regulations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  <w:bCs/>
              </w:rPr>
              <w:t>for</w:t>
            </w:r>
            <w:proofErr w:type="spellEnd"/>
            <w:r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  <w:bCs/>
              </w:rPr>
              <w:t>Students</w:t>
            </w:r>
            <w:proofErr w:type="spellEnd"/>
            <w:r w:rsidRPr="005A76D6">
              <w:rPr>
                <w:rFonts w:ascii="IBM Plex Serif" w:hAnsi="IBM Plex Serif"/>
                <w:bCs/>
              </w:rPr>
              <w:t>.</w:t>
            </w:r>
            <w:r w:rsidR="004B62CF" w:rsidRPr="005A76D6">
              <w:rPr>
                <w:rFonts w:ascii="IBM Plex Serif" w:hAnsi="IBM Plex Serif"/>
                <w:bCs/>
              </w:rPr>
              <w:t xml:space="preserve"> </w:t>
            </w:r>
            <w:r w:rsidR="00C403F2" w:rsidRPr="005A76D6">
              <w:rPr>
                <w:rFonts w:ascii="IBM Plex Serif" w:hAnsi="IBM Plex Serif"/>
                <w:bCs/>
              </w:rPr>
              <w:t xml:space="preserve">The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candidate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required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to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demonstrate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their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ability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to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write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written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examination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at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a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level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that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would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result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in a </w:t>
            </w:r>
            <w:proofErr w:type="spellStart"/>
            <w:r w:rsidR="00C403F2" w:rsidRPr="005A76D6">
              <w:rPr>
                <w:rFonts w:ascii="IBM Plex Serif" w:hAnsi="IBM Plex Serif"/>
                <w:bCs/>
              </w:rPr>
              <w:t>pass</w:t>
            </w:r>
            <w:proofErr w:type="spellEnd"/>
            <w:r w:rsidR="00C403F2" w:rsidRPr="005A76D6">
              <w:rPr>
                <w:rFonts w:ascii="IBM Plex Serif" w:hAnsi="IBM Plex Serif"/>
                <w:bCs/>
              </w:rPr>
              <w:t xml:space="preserve"> mark of 2.</w:t>
            </w:r>
          </w:p>
        </w:tc>
      </w:tr>
      <w:tr w:rsidR="00CA79A8" w14:paraId="1CF5AB4D" w14:textId="77777777" w:rsidTr="00CA79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624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  <w:hideMark/>
          </w:tcPr>
          <w:p w14:paraId="275FB028" w14:textId="77777777" w:rsidR="00CA79A8" w:rsidRPr="005906C8" w:rsidRDefault="00CA79A8" w:rsidP="00FC61E6">
            <w:pPr>
              <w:jc w:val="center"/>
              <w:rPr>
                <w:rFonts w:ascii="IBM Plex Serif" w:hAnsi="IBM Plex Serif"/>
                <w:b/>
                <w:bCs/>
              </w:rPr>
            </w:pPr>
            <w:bookmarkStart w:id="1" w:name="_Hlk181869830"/>
            <w:r w:rsidRPr="005906C8">
              <w:rPr>
                <w:rFonts w:ascii="IBM Plex Serif" w:hAnsi="IBM Plex Serif"/>
                <w:b/>
                <w:bCs/>
              </w:rPr>
              <w:t>MI eszközök alkalmazásának javaslata és elvárt módja</w:t>
            </w:r>
            <w:r w:rsidRPr="00897E3D">
              <w:rPr>
                <w:rFonts w:ascii="IBM Plex Serif" w:hAnsi="IBM Plex Serif"/>
                <w:b/>
                <w:bCs/>
                <w:vertAlign w:val="superscript"/>
              </w:rPr>
              <w:t>12</w:t>
            </w:r>
            <w:r w:rsidRPr="005906C8">
              <w:rPr>
                <w:rFonts w:ascii="IBM Plex Serif" w:hAnsi="IBM Plex Serif"/>
                <w:b/>
                <w:bCs/>
              </w:rPr>
              <w:t> </w:t>
            </w:r>
          </w:p>
        </w:tc>
      </w:tr>
      <w:tr w:rsidR="00CA79A8" w:rsidRPr="005906C8" w14:paraId="0627CEC9" w14:textId="77777777" w:rsidTr="00CA79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9685D" w14:textId="77777777" w:rsidR="00CA79A8" w:rsidRPr="005906C8" w:rsidRDefault="00CA79A8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lastRenderedPageBreak/>
              <w:t>magyarul 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EE584E3" w14:textId="77777777" w:rsidR="00CA79A8" w:rsidRPr="005906C8" w:rsidRDefault="00CA79A8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> A tárgy keretében a MI eszközök alkalmazása a felkészülés során megengedett, de a beadandó feladatokhoz és a számonkérés során használatuk tiltott.</w:t>
            </w:r>
          </w:p>
        </w:tc>
      </w:tr>
      <w:tr w:rsidR="00CA79A8" w:rsidRPr="005906C8" w14:paraId="74888D97" w14:textId="77777777" w:rsidTr="00CA79A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4034B216" w14:textId="77777777" w:rsidR="00CA79A8" w:rsidRPr="005906C8" w:rsidRDefault="00CA79A8" w:rsidP="00FC61E6">
            <w:pPr>
              <w:rPr>
                <w:rFonts w:ascii="IBM Plex Serif" w:hAnsi="IBM Plex Serif"/>
                <w:b/>
                <w:bCs/>
              </w:rPr>
            </w:pPr>
            <w:r w:rsidRPr="005906C8">
              <w:rPr>
                <w:rFonts w:ascii="IBM Plex Serif" w:hAnsi="IBM Plex Serif"/>
                <w:b/>
                <w:bCs/>
              </w:rPr>
              <w:t>angolul </w:t>
            </w:r>
          </w:p>
        </w:tc>
        <w:tc>
          <w:tcPr>
            <w:tcW w:w="8221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A0D141" w14:textId="77777777" w:rsidR="00CA79A8" w:rsidRPr="005906C8" w:rsidRDefault="00CA79A8" w:rsidP="00FC61E6">
            <w:pPr>
              <w:rPr>
                <w:rFonts w:ascii="IBM Plex Serif" w:hAnsi="IBM Plex Serif"/>
                <w:bCs/>
              </w:rPr>
            </w:pPr>
            <w:r w:rsidRPr="005906C8">
              <w:rPr>
                <w:rFonts w:ascii="IBM Plex Serif" w:hAnsi="IBM Plex Serif"/>
                <w:bCs/>
              </w:rPr>
              <w:t xml:space="preserve"> In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subject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, AI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tools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are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allowed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preparation, </w:t>
            </w:r>
            <w:proofErr w:type="spellStart"/>
            <w:r w:rsidRPr="005906C8">
              <w:rPr>
                <w:rFonts w:ascii="IBM Plex Serif" w:hAnsi="IBM Plex Serif"/>
                <w:bCs/>
              </w:rPr>
              <w:t>but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their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use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for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assignment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during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the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written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and </w:t>
            </w:r>
            <w:proofErr w:type="spellStart"/>
            <w:r w:rsidRPr="005906C8">
              <w:rPr>
                <w:rFonts w:ascii="IBM Plex Serif" w:hAnsi="IBM Plex Serif"/>
                <w:bCs/>
              </w:rPr>
              <w:t>oral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</w:t>
            </w:r>
            <w:proofErr w:type="spellStart"/>
            <w:r w:rsidRPr="005906C8">
              <w:rPr>
                <w:rFonts w:ascii="IBM Plex Serif" w:hAnsi="IBM Plex Serif"/>
                <w:bCs/>
              </w:rPr>
              <w:t>exams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 is </w:t>
            </w:r>
            <w:proofErr w:type="spellStart"/>
            <w:r w:rsidRPr="005906C8">
              <w:rPr>
                <w:rFonts w:ascii="IBM Plex Serif" w:hAnsi="IBM Plex Serif"/>
                <w:bCs/>
              </w:rPr>
              <w:t>prohibited</w:t>
            </w:r>
            <w:proofErr w:type="spellEnd"/>
            <w:r w:rsidRPr="005906C8">
              <w:rPr>
                <w:rFonts w:ascii="IBM Plex Serif" w:hAnsi="IBM Plex Serif"/>
                <w:bCs/>
              </w:rPr>
              <w:t xml:space="preserve">.  </w:t>
            </w:r>
          </w:p>
        </w:tc>
      </w:tr>
      <w:bookmarkEnd w:id="1"/>
      <w:tr w:rsidR="00DA34DC" w:rsidRPr="005A76D6" w14:paraId="42E8A69D" w14:textId="77777777" w:rsidTr="00CA7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62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5ACD809" w14:textId="77777777" w:rsidR="00DA34DC" w:rsidRPr="005A76D6" w:rsidRDefault="00DA34DC" w:rsidP="00DA34DC">
            <w:pPr>
              <w:autoSpaceDE/>
              <w:autoSpaceDN/>
              <w:jc w:val="center"/>
              <w:rPr>
                <w:rFonts w:ascii="IBM Plex Serif" w:hAnsi="IBM Plex Serif" w:cs="Arial"/>
                <w:b/>
                <w:bCs/>
                <w:szCs w:val="18"/>
              </w:rPr>
            </w:pPr>
            <w:r w:rsidRPr="005A76D6">
              <w:rPr>
                <w:rFonts w:ascii="IBM Plex Serif" w:hAnsi="IBM Plex Serif" w:cs="Arial"/>
                <w:b/>
                <w:bCs/>
                <w:szCs w:val="18"/>
              </w:rPr>
              <w:t>Irodalmak</w:t>
            </w:r>
            <w:r w:rsidRPr="005A76D6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1</w:t>
            </w:r>
            <w:r w:rsidR="00CA79A8" w:rsidRPr="00CA79A8">
              <w:rPr>
                <w:rStyle w:val="Lbjegyzet-hivatkozs"/>
                <w:rFonts w:ascii="IBM Plex Serif" w:hAnsi="IBM Plex Serif" w:cs="Arial"/>
                <w:b/>
                <w:bCs/>
                <w:szCs w:val="18"/>
              </w:rPr>
              <w:t>3</w:t>
            </w:r>
          </w:p>
        </w:tc>
      </w:tr>
      <w:tr w:rsidR="00DA34DC" w:rsidRPr="005A76D6" w14:paraId="7C97A70D" w14:textId="77777777" w:rsidTr="00903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AA9A" w14:textId="77777777" w:rsidR="00DA34DC" w:rsidRPr="005A76D6" w:rsidRDefault="00DA34DC" w:rsidP="005A76D6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Kötelező: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A559E5" w14:textId="39F2CC84" w:rsidR="00DA34DC" w:rsidRDefault="00903D23" w:rsidP="00903D23">
            <w:pPr>
              <w:suppressAutoHyphens/>
              <w:autoSpaceDE/>
              <w:autoSpaceDN/>
              <w:ind w:left="360" w:right="-108"/>
              <w:jc w:val="left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>Környezetmérnöki Tudástár: Talajtan-talajvédelem (</w:t>
            </w:r>
            <w:proofErr w:type="spellStart"/>
            <w:r w:rsidRPr="005A76D6">
              <w:rPr>
                <w:rFonts w:ascii="IBM Plex Serif" w:hAnsi="IBM Plex Serif"/>
              </w:rPr>
              <w:t>Szek</w:t>
            </w:r>
            <w:proofErr w:type="spellEnd"/>
            <w:r w:rsidRPr="005A76D6">
              <w:rPr>
                <w:rFonts w:ascii="IBM Plex Serif" w:hAnsi="IBM Plex Serif"/>
              </w:rPr>
              <w:t xml:space="preserve">: Dr. </w:t>
            </w:r>
            <w:proofErr w:type="spellStart"/>
            <w:r w:rsidRPr="005A76D6">
              <w:rPr>
                <w:rFonts w:ascii="IBM Plex Serif" w:hAnsi="IBM Plex Serif"/>
              </w:rPr>
              <w:t>Füleky</w:t>
            </w:r>
            <w:proofErr w:type="spellEnd"/>
            <w:r w:rsidRPr="005A76D6">
              <w:rPr>
                <w:rFonts w:ascii="IBM Plex Serif" w:hAnsi="IBM Plex Serif"/>
              </w:rPr>
              <w:t xml:space="preserve"> György, ISBN: 978-615-5044-</w:t>
            </w:r>
            <w:r w:rsidRPr="009406AC">
              <w:rPr>
                <w:rFonts w:ascii="IBM Plex Serif" w:hAnsi="IBM Plex Serif"/>
                <w:color w:val="000000" w:themeColor="text1"/>
              </w:rPr>
              <w:t xml:space="preserve">28-1), 2011, </w:t>
            </w:r>
            <w:hyperlink r:id="rId11" w:history="1">
              <w:r w:rsidR="00526D1D" w:rsidRPr="009406AC">
                <w:rPr>
                  <w:rStyle w:val="Hiperhivatkozs"/>
                  <w:rFonts w:ascii="IBM Plex Serif" w:hAnsi="IBM Plex Serif"/>
                  <w:color w:val="000000" w:themeColor="text1"/>
                </w:rPr>
                <w:t>https://tudastar.mk.uni-pannon.hu/</w:t>
              </w:r>
            </w:hyperlink>
          </w:p>
          <w:p w14:paraId="0239C06C" w14:textId="779C5EBB" w:rsidR="00526D1D" w:rsidRPr="00903D23" w:rsidRDefault="00526D1D" w:rsidP="00903D23">
            <w:pPr>
              <w:suppressAutoHyphens/>
              <w:autoSpaceDE/>
              <w:autoSpaceDN/>
              <w:ind w:left="360" w:right="-108"/>
              <w:jc w:val="left"/>
              <w:rPr>
                <w:rFonts w:ascii="IBM Plex Serif" w:hAnsi="IBM Plex Serif"/>
              </w:rPr>
            </w:pPr>
            <w:r w:rsidRPr="00DF40BA">
              <w:rPr>
                <w:rFonts w:ascii="IBM Plex Serif" w:hAnsi="IBM Plex Serif"/>
              </w:rPr>
              <w:t>Szabó Imre, Szabó Attila Hulladéklerakók rekultivációja, utógondozása, Miskolci Egyetem, 2012 ISBN 978-963-661-627</w:t>
            </w:r>
            <w:r>
              <w:rPr>
                <w:rFonts w:ascii="IBM Plex Serif" w:hAnsi="IBM Plex Serif"/>
              </w:rPr>
              <w:t>-4</w:t>
            </w:r>
          </w:p>
        </w:tc>
      </w:tr>
      <w:tr w:rsidR="00DA34DC" w:rsidRPr="005A76D6" w14:paraId="779A72A0" w14:textId="77777777" w:rsidTr="00CA79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F0AA4A" w14:textId="77777777" w:rsidR="00DA34DC" w:rsidRPr="005A76D6" w:rsidRDefault="00DA34DC" w:rsidP="005A76D6">
            <w:pPr>
              <w:autoSpaceDE/>
              <w:autoSpaceDN/>
              <w:jc w:val="left"/>
              <w:rPr>
                <w:rFonts w:ascii="IBM Plex Serif" w:hAnsi="IBM Plex Serif"/>
                <w:b/>
                <w:bCs/>
              </w:rPr>
            </w:pPr>
            <w:r w:rsidRPr="005A76D6">
              <w:rPr>
                <w:rFonts w:ascii="IBM Plex Serif" w:hAnsi="IBM Plex Serif"/>
                <w:b/>
                <w:bCs/>
              </w:rPr>
              <w:t>Ajánlott: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C1C083" w14:textId="77777777" w:rsidR="00C403F2" w:rsidRPr="005A76D6" w:rsidRDefault="00C403F2" w:rsidP="00903D23">
            <w:pPr>
              <w:suppressAutoHyphens/>
              <w:autoSpaceDE/>
              <w:autoSpaceDN/>
              <w:ind w:left="360" w:right="-108"/>
              <w:jc w:val="left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J.T. </w:t>
            </w:r>
            <w:proofErr w:type="spellStart"/>
            <w:r w:rsidRPr="005A76D6">
              <w:rPr>
                <w:rFonts w:ascii="IBM Plex Serif" w:hAnsi="IBM Plex Serif"/>
              </w:rPr>
              <w:t>Albergaria</w:t>
            </w:r>
            <w:proofErr w:type="spellEnd"/>
            <w:r w:rsidRPr="005A76D6">
              <w:rPr>
                <w:rFonts w:ascii="IBM Plex Serif" w:hAnsi="IBM Plex Serif"/>
              </w:rPr>
              <w:t xml:space="preserve">, H.P.A. </w:t>
            </w:r>
            <w:proofErr w:type="spellStart"/>
            <w:r w:rsidRPr="005A76D6">
              <w:rPr>
                <w:rFonts w:ascii="IBM Plex Serif" w:hAnsi="IBM Plex Serif"/>
              </w:rPr>
              <w:t>Nouws</w:t>
            </w:r>
            <w:proofErr w:type="spellEnd"/>
            <w:r w:rsidRPr="005A76D6">
              <w:rPr>
                <w:rFonts w:ascii="IBM Plex Serif" w:hAnsi="IBM Plex Serif"/>
              </w:rPr>
              <w:t xml:space="preserve"> (</w:t>
            </w:r>
            <w:proofErr w:type="spellStart"/>
            <w:r w:rsidRPr="005A76D6">
              <w:rPr>
                <w:rFonts w:ascii="IBM Plex Serif" w:hAnsi="IBM Plex Serif"/>
              </w:rPr>
              <w:t>eds</w:t>
            </w:r>
            <w:proofErr w:type="spellEnd"/>
            <w:r w:rsidRPr="005A76D6">
              <w:rPr>
                <w:rFonts w:ascii="IBM Plex Serif" w:hAnsi="IBM Plex Serif"/>
              </w:rPr>
              <w:t xml:space="preserve">); </w:t>
            </w:r>
            <w:proofErr w:type="spellStart"/>
            <w:r w:rsidRPr="005A76D6">
              <w:rPr>
                <w:rFonts w:ascii="IBM Plex Serif" w:hAnsi="IBM Plex Serif"/>
              </w:rPr>
              <w:t>Soil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Remediation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Applications</w:t>
            </w:r>
            <w:proofErr w:type="spellEnd"/>
            <w:r w:rsidRPr="005A76D6">
              <w:rPr>
                <w:rFonts w:ascii="IBM Plex Serif" w:hAnsi="IBM Plex Serif"/>
              </w:rPr>
              <w:t xml:space="preserve"> and New Technologies, CRC Press, 2016</w:t>
            </w:r>
          </w:p>
          <w:p w14:paraId="23031D16" w14:textId="77777777" w:rsidR="00C403F2" w:rsidRPr="005A76D6" w:rsidRDefault="00C403F2" w:rsidP="00903D23">
            <w:pPr>
              <w:suppressAutoHyphens/>
              <w:autoSpaceDE/>
              <w:autoSpaceDN/>
              <w:ind w:left="360" w:right="-108"/>
              <w:jc w:val="left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H. </w:t>
            </w:r>
            <w:proofErr w:type="spellStart"/>
            <w:proofErr w:type="gramStart"/>
            <w:r w:rsidRPr="005A76D6">
              <w:rPr>
                <w:rFonts w:ascii="IBM Plex Serif" w:hAnsi="IBM Plex Serif"/>
              </w:rPr>
              <w:t>Hasegawa,I.Md</w:t>
            </w:r>
            <w:proofErr w:type="spellEnd"/>
            <w:r w:rsidRPr="005A76D6">
              <w:rPr>
                <w:rFonts w:ascii="IBM Plex Serif" w:hAnsi="IBM Plex Serif"/>
              </w:rPr>
              <w:t>.</w:t>
            </w:r>
            <w:proofErr w:type="gram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Mofizur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Rahman</w:t>
            </w:r>
            <w:proofErr w:type="spellEnd"/>
            <w:r w:rsidRPr="005A76D6">
              <w:rPr>
                <w:rFonts w:ascii="IBM Plex Serif" w:hAnsi="IBM Plex Serif"/>
              </w:rPr>
              <w:t xml:space="preserve">, M.A. </w:t>
            </w:r>
            <w:proofErr w:type="spellStart"/>
            <w:r w:rsidRPr="005A76D6">
              <w:rPr>
                <w:rFonts w:ascii="IBM Plex Serif" w:hAnsi="IBM Plex Serif"/>
              </w:rPr>
              <w:t>Rahman</w:t>
            </w:r>
            <w:proofErr w:type="spellEnd"/>
            <w:r w:rsidRPr="005A76D6">
              <w:rPr>
                <w:rFonts w:ascii="IBM Plex Serif" w:hAnsi="IBM Plex Serif"/>
              </w:rPr>
              <w:t xml:space="preserve"> (</w:t>
            </w:r>
            <w:proofErr w:type="spellStart"/>
            <w:r w:rsidRPr="005A76D6">
              <w:rPr>
                <w:rFonts w:ascii="IBM Plex Serif" w:hAnsi="IBM Plex Serif"/>
              </w:rPr>
              <w:t>eds</w:t>
            </w:r>
            <w:proofErr w:type="spellEnd"/>
            <w:r w:rsidRPr="005A76D6">
              <w:rPr>
                <w:rFonts w:ascii="IBM Plex Serif" w:hAnsi="IBM Plex Serif"/>
              </w:rPr>
              <w:t xml:space="preserve">) </w:t>
            </w:r>
            <w:proofErr w:type="spellStart"/>
            <w:r w:rsidRPr="005A76D6">
              <w:rPr>
                <w:rFonts w:ascii="IBM Plex Serif" w:hAnsi="IBM Plex Serif"/>
              </w:rPr>
              <w:t>Environmental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Remediation</w:t>
            </w:r>
            <w:proofErr w:type="spellEnd"/>
            <w:r w:rsidRPr="005A76D6">
              <w:rPr>
                <w:rFonts w:ascii="IBM Plex Serif" w:hAnsi="IBM Plex Serif"/>
              </w:rPr>
              <w:t xml:space="preserve"> Technologies </w:t>
            </w:r>
            <w:proofErr w:type="spellStart"/>
            <w:r w:rsidRPr="005A76D6">
              <w:rPr>
                <w:rFonts w:ascii="IBM Plex Serif" w:hAnsi="IBM Plex Serif"/>
              </w:rPr>
              <w:t>for</w:t>
            </w:r>
            <w:proofErr w:type="spellEnd"/>
            <w:r w:rsidRPr="005A76D6">
              <w:rPr>
                <w:rFonts w:ascii="IBM Plex Serif" w:hAnsi="IBM Plex Serif"/>
              </w:rPr>
              <w:t xml:space="preserve"> Metal-</w:t>
            </w:r>
            <w:proofErr w:type="spellStart"/>
            <w:r w:rsidRPr="005A76D6">
              <w:rPr>
                <w:rFonts w:ascii="IBM Plex Serif" w:hAnsi="IBM Plex Serif"/>
              </w:rPr>
              <w:t>Contaminated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Soils</w:t>
            </w:r>
            <w:proofErr w:type="spellEnd"/>
            <w:r w:rsidRPr="005A76D6">
              <w:rPr>
                <w:rFonts w:ascii="IBM Plex Serif" w:hAnsi="IBM Plex Serif"/>
              </w:rPr>
              <w:t>, Springer, 2016</w:t>
            </w:r>
          </w:p>
          <w:p w14:paraId="497F9102" w14:textId="77777777" w:rsidR="00C403F2" w:rsidRPr="005A76D6" w:rsidRDefault="00C403F2" w:rsidP="00903D23">
            <w:pPr>
              <w:suppressAutoHyphens/>
              <w:autoSpaceDE/>
              <w:autoSpaceDN/>
              <w:ind w:left="360" w:right="-108"/>
              <w:jc w:val="left"/>
              <w:rPr>
                <w:rFonts w:ascii="IBM Plex Serif" w:hAnsi="IBM Plex Serif"/>
              </w:rPr>
            </w:pPr>
            <w:proofErr w:type="spellStart"/>
            <w:r w:rsidRPr="005A76D6">
              <w:rPr>
                <w:rFonts w:ascii="IBM Plex Serif" w:hAnsi="IBM Plex Serif"/>
              </w:rPr>
              <w:t>Calabrese</w:t>
            </w:r>
            <w:proofErr w:type="spellEnd"/>
            <w:r w:rsidRPr="005A76D6">
              <w:rPr>
                <w:rFonts w:ascii="IBM Plex Serif" w:hAnsi="IBM Plex Serif"/>
              </w:rPr>
              <w:t xml:space="preserve">, E. J., </w:t>
            </w:r>
            <w:proofErr w:type="spellStart"/>
            <w:r w:rsidRPr="005A76D6">
              <w:rPr>
                <w:rFonts w:ascii="IBM Plex Serif" w:hAnsi="IBM Plex Serif"/>
              </w:rPr>
              <w:t>Kostecki</w:t>
            </w:r>
            <w:proofErr w:type="spellEnd"/>
            <w:r w:rsidRPr="005A76D6">
              <w:rPr>
                <w:rFonts w:ascii="IBM Plex Serif" w:hAnsi="IBM Plex Serif"/>
              </w:rPr>
              <w:t xml:space="preserve">, P. T.: </w:t>
            </w:r>
            <w:proofErr w:type="spellStart"/>
            <w:r w:rsidRPr="005A76D6">
              <w:rPr>
                <w:rFonts w:ascii="IBM Plex Serif" w:hAnsi="IBM Plex Serif"/>
              </w:rPr>
              <w:t>Hydrocarbon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Contaminated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Soils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Groundwater</w:t>
            </w:r>
            <w:proofErr w:type="spellEnd"/>
            <w:r w:rsidRPr="005A76D6">
              <w:rPr>
                <w:rFonts w:ascii="IBM Plex Serif" w:hAnsi="IBM Plex Serif"/>
              </w:rPr>
              <w:t xml:space="preserve">, Lewis </w:t>
            </w:r>
            <w:proofErr w:type="spellStart"/>
            <w:r w:rsidRPr="005A76D6">
              <w:rPr>
                <w:rFonts w:ascii="IBM Plex Serif" w:hAnsi="IBM Plex Serif"/>
              </w:rPr>
              <w:t>Publishers</w:t>
            </w:r>
            <w:proofErr w:type="spellEnd"/>
            <w:r w:rsidRPr="005A76D6">
              <w:rPr>
                <w:rFonts w:ascii="IBM Plex Serif" w:hAnsi="IBM Plex Serif"/>
              </w:rPr>
              <w:t>, 1992.</w:t>
            </w:r>
          </w:p>
          <w:p w14:paraId="5288D0A6" w14:textId="77777777" w:rsidR="00DA34DC" w:rsidRDefault="00C403F2" w:rsidP="009406AC">
            <w:pPr>
              <w:suppressAutoHyphens/>
              <w:autoSpaceDE/>
              <w:autoSpaceDN/>
              <w:ind w:left="353" w:right="-108"/>
              <w:jc w:val="left"/>
              <w:rPr>
                <w:rFonts w:ascii="IBM Plex Serif" w:hAnsi="IBM Plex Serif"/>
              </w:rPr>
            </w:pPr>
            <w:r w:rsidRPr="005A76D6">
              <w:rPr>
                <w:rFonts w:ascii="IBM Plex Serif" w:hAnsi="IBM Plex Serif"/>
              </w:rPr>
              <w:t xml:space="preserve">Jeff </w:t>
            </w:r>
            <w:proofErr w:type="spellStart"/>
            <w:r w:rsidRPr="005A76D6">
              <w:rPr>
                <w:rFonts w:ascii="IBM Plex Serif" w:hAnsi="IBM Plex Serif"/>
              </w:rPr>
              <w:t>Kuo</w:t>
            </w:r>
            <w:proofErr w:type="spellEnd"/>
            <w:r w:rsidRPr="005A76D6">
              <w:rPr>
                <w:rFonts w:ascii="IBM Plex Serif" w:hAnsi="IBM Plex Serif"/>
              </w:rPr>
              <w:t xml:space="preserve">, </w:t>
            </w:r>
            <w:proofErr w:type="spellStart"/>
            <w:r w:rsidRPr="005A76D6">
              <w:rPr>
                <w:rFonts w:ascii="IBM Plex Serif" w:hAnsi="IBM Plex Serif"/>
              </w:rPr>
              <w:t>Practical</w:t>
            </w:r>
            <w:proofErr w:type="spellEnd"/>
            <w:r w:rsidRPr="005A76D6">
              <w:rPr>
                <w:rFonts w:ascii="IBM Plex Serif" w:hAnsi="IBM Plex Serif"/>
              </w:rPr>
              <w:t xml:space="preserve"> Design </w:t>
            </w:r>
            <w:proofErr w:type="spellStart"/>
            <w:r w:rsidRPr="005A76D6">
              <w:rPr>
                <w:rFonts w:ascii="IBM Plex Serif" w:hAnsi="IBM Plex Serif"/>
              </w:rPr>
              <w:t>Calculations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for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Groundwater</w:t>
            </w:r>
            <w:proofErr w:type="spellEnd"/>
            <w:r w:rsidRPr="005A76D6">
              <w:rPr>
                <w:rFonts w:ascii="IBM Plex Serif" w:hAnsi="IBM Plex Serif"/>
              </w:rPr>
              <w:t xml:space="preserve"> and </w:t>
            </w:r>
            <w:proofErr w:type="spellStart"/>
            <w:r w:rsidRPr="005A76D6">
              <w:rPr>
                <w:rFonts w:ascii="IBM Plex Serif" w:hAnsi="IBM Plex Serif"/>
              </w:rPr>
              <w:t>Soil</w:t>
            </w:r>
            <w:proofErr w:type="spellEnd"/>
            <w:r w:rsidRPr="005A76D6">
              <w:rPr>
                <w:rFonts w:ascii="IBM Plex Serif" w:hAnsi="IBM Plex Serif"/>
              </w:rPr>
              <w:t xml:space="preserve"> </w:t>
            </w:r>
            <w:proofErr w:type="spellStart"/>
            <w:r w:rsidRPr="005A76D6">
              <w:rPr>
                <w:rFonts w:ascii="IBM Plex Serif" w:hAnsi="IBM Plex Serif"/>
              </w:rPr>
              <w:t>Remediation</w:t>
            </w:r>
            <w:proofErr w:type="spellEnd"/>
            <w:r w:rsidRPr="005A76D6">
              <w:rPr>
                <w:rFonts w:ascii="IBM Plex Serif" w:hAnsi="IBM Plex Serif"/>
              </w:rPr>
              <w:t xml:space="preserve">, 2nd </w:t>
            </w:r>
            <w:proofErr w:type="spellStart"/>
            <w:r w:rsidRPr="005A76D6">
              <w:rPr>
                <w:rFonts w:ascii="IBM Plex Serif" w:hAnsi="IBM Plex Serif"/>
              </w:rPr>
              <w:t>ed</w:t>
            </w:r>
            <w:proofErr w:type="spellEnd"/>
            <w:r w:rsidRPr="005A76D6">
              <w:rPr>
                <w:rFonts w:ascii="IBM Plex Serif" w:hAnsi="IBM Plex Serif"/>
              </w:rPr>
              <w:t>, CRC Press, 2014</w:t>
            </w:r>
          </w:p>
          <w:p w14:paraId="530F1C0E" w14:textId="77777777" w:rsidR="00526D1D" w:rsidRPr="00DF40BA" w:rsidRDefault="00526D1D" w:rsidP="009406AC">
            <w:pPr>
              <w:suppressAutoHyphens/>
              <w:ind w:left="353"/>
              <w:jc w:val="left"/>
              <w:rPr>
                <w:rFonts w:ascii="IBM Plex Serif" w:hAnsi="IBM Plex Serif"/>
              </w:rPr>
            </w:pPr>
            <w:r w:rsidRPr="00DF40BA">
              <w:rPr>
                <w:rFonts w:ascii="IBM Plex Serif" w:hAnsi="IBM Plex Serif"/>
              </w:rPr>
              <w:t xml:space="preserve">Projektmenedzsment. </w:t>
            </w:r>
            <w:proofErr w:type="spellStart"/>
            <w:r w:rsidRPr="00DF40BA">
              <w:rPr>
                <w:rFonts w:ascii="IBM Plex Serif" w:hAnsi="IBM Plex Serif"/>
              </w:rPr>
              <w:t>Verzuh</w:t>
            </w:r>
            <w:proofErr w:type="spellEnd"/>
            <w:r w:rsidRPr="00DF40BA">
              <w:rPr>
                <w:rFonts w:ascii="IBM Plex Serif" w:hAnsi="IBM Plex Serif"/>
              </w:rPr>
              <w:t xml:space="preserve">, Eric. HVG Kiadó, Budapest. 2006. </w:t>
            </w:r>
          </w:p>
          <w:p w14:paraId="3DEAE686" w14:textId="05B42F0A" w:rsidR="00526D1D" w:rsidRPr="005A76D6" w:rsidRDefault="00526D1D" w:rsidP="009406AC">
            <w:pPr>
              <w:suppressAutoHyphens/>
              <w:autoSpaceDE/>
              <w:autoSpaceDN/>
              <w:ind w:left="353" w:right="-108"/>
              <w:jc w:val="left"/>
              <w:rPr>
                <w:rFonts w:ascii="IBM Plex Serif" w:hAnsi="IBM Plex Serif"/>
                <w:b/>
                <w:bCs/>
              </w:rPr>
            </w:pPr>
            <w:r w:rsidRPr="00DF40BA">
              <w:rPr>
                <w:rFonts w:ascii="IBM Plex Serif" w:hAnsi="IBM Plex Serif"/>
              </w:rPr>
              <w:t xml:space="preserve">Projekt? </w:t>
            </w:r>
            <w:proofErr w:type="gramStart"/>
            <w:r w:rsidRPr="00DF40BA">
              <w:rPr>
                <w:rFonts w:ascii="IBM Plex Serif" w:hAnsi="IBM Plex Serif"/>
              </w:rPr>
              <w:t>Örömmel!.</w:t>
            </w:r>
            <w:proofErr w:type="gramEnd"/>
            <w:r w:rsidRPr="00DF40BA">
              <w:rPr>
                <w:rFonts w:ascii="IBM Plex Serif" w:hAnsi="IBM Plex Serif"/>
              </w:rPr>
              <w:t xml:space="preserve"> </w:t>
            </w:r>
            <w:proofErr w:type="spellStart"/>
            <w:r w:rsidRPr="00DF40BA">
              <w:rPr>
                <w:rFonts w:ascii="IBM Plex Serif" w:hAnsi="IBM Plex Serif"/>
              </w:rPr>
              <w:t>Gareis</w:t>
            </w:r>
            <w:proofErr w:type="spellEnd"/>
            <w:r w:rsidRPr="00DF40BA">
              <w:rPr>
                <w:rFonts w:ascii="IBM Plex Serif" w:hAnsi="IBM Plex Serif"/>
              </w:rPr>
              <w:t>, Roland. HVG Könyvek, Budapest. 2007.</w:t>
            </w:r>
          </w:p>
        </w:tc>
      </w:tr>
    </w:tbl>
    <w:p w14:paraId="7B2C5D0E" w14:textId="77777777" w:rsidR="007D3E9C" w:rsidRPr="005A76D6" w:rsidRDefault="007D3E9C" w:rsidP="007D3E9C">
      <w:pPr>
        <w:pStyle w:val="Lbjegyzetszveg"/>
        <w:rPr>
          <w:rFonts w:ascii="IBM Plex Serif" w:hAnsi="IBM Plex Serif"/>
        </w:rPr>
      </w:pPr>
    </w:p>
    <w:sectPr w:rsidR="007D3E9C" w:rsidRPr="005A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29958" w14:textId="77777777" w:rsidR="007D3B19" w:rsidRDefault="007D3B19" w:rsidP="00A53ED8">
      <w:r>
        <w:separator/>
      </w:r>
    </w:p>
  </w:endnote>
  <w:endnote w:type="continuationSeparator" w:id="0">
    <w:p w14:paraId="5A40FFA9" w14:textId="77777777" w:rsidR="007D3B19" w:rsidRDefault="007D3B19" w:rsidP="00A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erif">
    <w:altName w:val="Cambria Math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EF342" w14:textId="77777777" w:rsidR="007D3B19" w:rsidRDefault="007D3B19" w:rsidP="00A53ED8">
      <w:r>
        <w:separator/>
      </w:r>
    </w:p>
  </w:footnote>
  <w:footnote w:type="continuationSeparator" w:id="0">
    <w:p w14:paraId="6A6D8610" w14:textId="77777777" w:rsidR="007D3B19" w:rsidRDefault="007D3B19" w:rsidP="00A5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0B24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5C64009"/>
    <w:multiLevelType w:val="hybridMultilevel"/>
    <w:tmpl w:val="DCE6041A"/>
    <w:lvl w:ilvl="0" w:tplc="EDDCB3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B045F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9A10BE"/>
    <w:multiLevelType w:val="hybridMultilevel"/>
    <w:tmpl w:val="0A8E5B7E"/>
    <w:lvl w:ilvl="0" w:tplc="C8FAA15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C6E67F0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2C77128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A87440F"/>
    <w:multiLevelType w:val="hybridMultilevel"/>
    <w:tmpl w:val="C8FA9F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E1820"/>
    <w:multiLevelType w:val="hybridMultilevel"/>
    <w:tmpl w:val="6066822E"/>
    <w:lvl w:ilvl="0" w:tplc="BAD89F5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7FD27E8"/>
    <w:multiLevelType w:val="multilevel"/>
    <w:tmpl w:val="626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E0494"/>
    <w:multiLevelType w:val="hybridMultilevel"/>
    <w:tmpl w:val="673CEB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9C4D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45BAC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A28145F"/>
    <w:multiLevelType w:val="hybridMultilevel"/>
    <w:tmpl w:val="7B840F7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983417"/>
    <w:multiLevelType w:val="hybridMultilevel"/>
    <w:tmpl w:val="2C12F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C77C4"/>
    <w:multiLevelType w:val="hybridMultilevel"/>
    <w:tmpl w:val="7040E988"/>
    <w:lvl w:ilvl="0" w:tplc="D80E1CAC">
      <w:start w:val="2024"/>
      <w:numFmt w:val="bullet"/>
      <w:lvlText w:val="-"/>
      <w:lvlJc w:val="left"/>
      <w:pPr>
        <w:ind w:left="536" w:hanging="360"/>
      </w:pPr>
      <w:rPr>
        <w:rFonts w:ascii="Playfair Display" w:eastAsia="Times New Roman" w:hAnsi="Playfair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631D1C56"/>
    <w:multiLevelType w:val="hybridMultilevel"/>
    <w:tmpl w:val="7D98C898"/>
    <w:lvl w:ilvl="0" w:tplc="4226F8CE">
      <w:start w:val="18"/>
      <w:numFmt w:val="bullet"/>
      <w:lvlText w:val="-"/>
      <w:lvlJc w:val="left"/>
      <w:pPr>
        <w:ind w:left="720" w:hanging="360"/>
      </w:pPr>
      <w:rPr>
        <w:rFonts w:ascii="Playfair Display" w:eastAsia="Times New Roman" w:hAnsi="Playfair Displa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1709E"/>
    <w:multiLevelType w:val="hybridMultilevel"/>
    <w:tmpl w:val="0C2E7D9C"/>
    <w:lvl w:ilvl="0" w:tplc="040E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4"/>
  </w:num>
  <w:num w:numId="7">
    <w:abstractNumId w:val="14"/>
  </w:num>
  <w:num w:numId="8">
    <w:abstractNumId w:val="5"/>
  </w:num>
  <w:num w:numId="9">
    <w:abstractNumId w:val="13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EC"/>
    <w:rsid w:val="00007183"/>
    <w:rsid w:val="00016641"/>
    <w:rsid w:val="000214FF"/>
    <w:rsid w:val="00054CFB"/>
    <w:rsid w:val="00087B74"/>
    <w:rsid w:val="00105117"/>
    <w:rsid w:val="001363EE"/>
    <w:rsid w:val="0014135C"/>
    <w:rsid w:val="001C0924"/>
    <w:rsid w:val="001D55E9"/>
    <w:rsid w:val="002110BF"/>
    <w:rsid w:val="00264256"/>
    <w:rsid w:val="002974BD"/>
    <w:rsid w:val="002D62CA"/>
    <w:rsid w:val="00305BB9"/>
    <w:rsid w:val="00316F4C"/>
    <w:rsid w:val="0036200B"/>
    <w:rsid w:val="00412D60"/>
    <w:rsid w:val="00473681"/>
    <w:rsid w:val="00496895"/>
    <w:rsid w:val="004B62CF"/>
    <w:rsid w:val="005176A0"/>
    <w:rsid w:val="00526D1D"/>
    <w:rsid w:val="005409BC"/>
    <w:rsid w:val="005816C5"/>
    <w:rsid w:val="005A76D6"/>
    <w:rsid w:val="005D780E"/>
    <w:rsid w:val="005E149E"/>
    <w:rsid w:val="00670094"/>
    <w:rsid w:val="006C1A6C"/>
    <w:rsid w:val="006D0EF0"/>
    <w:rsid w:val="007D3B19"/>
    <w:rsid w:val="007D3E9C"/>
    <w:rsid w:val="007E037C"/>
    <w:rsid w:val="00831335"/>
    <w:rsid w:val="00833E86"/>
    <w:rsid w:val="00903D23"/>
    <w:rsid w:val="00932526"/>
    <w:rsid w:val="009377E1"/>
    <w:rsid w:val="009406AC"/>
    <w:rsid w:val="0097187A"/>
    <w:rsid w:val="00980953"/>
    <w:rsid w:val="009A7064"/>
    <w:rsid w:val="009C627F"/>
    <w:rsid w:val="009C7074"/>
    <w:rsid w:val="009D0B1E"/>
    <w:rsid w:val="009F3726"/>
    <w:rsid w:val="00A30ADE"/>
    <w:rsid w:val="00A53ED8"/>
    <w:rsid w:val="00A65E69"/>
    <w:rsid w:val="00A6715A"/>
    <w:rsid w:val="00AA4361"/>
    <w:rsid w:val="00AB6D25"/>
    <w:rsid w:val="00AD60BC"/>
    <w:rsid w:val="00B05257"/>
    <w:rsid w:val="00B73341"/>
    <w:rsid w:val="00BD34E9"/>
    <w:rsid w:val="00C04760"/>
    <w:rsid w:val="00C05BA9"/>
    <w:rsid w:val="00C403F2"/>
    <w:rsid w:val="00C65DEF"/>
    <w:rsid w:val="00CA79A8"/>
    <w:rsid w:val="00D016EC"/>
    <w:rsid w:val="00D35F25"/>
    <w:rsid w:val="00D37B6E"/>
    <w:rsid w:val="00D905C5"/>
    <w:rsid w:val="00DA34DC"/>
    <w:rsid w:val="00E055F6"/>
    <w:rsid w:val="00E66932"/>
    <w:rsid w:val="00E90474"/>
    <w:rsid w:val="00ED4617"/>
    <w:rsid w:val="00F17F32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A400"/>
  <w15:chartTrackingRefBased/>
  <w15:docId w15:val="{1D4BE2CF-8536-42D8-862C-CAC74CAC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16E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17F32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3ED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3E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53ED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65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65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A65E69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7B7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90474"/>
    <w:pPr>
      <w:ind w:left="720"/>
      <w:contextualSpacing/>
    </w:pPr>
  </w:style>
  <w:style w:type="paragraph" w:styleId="Vltozat">
    <w:name w:val="Revision"/>
    <w:hidden/>
    <w:uiPriority w:val="99"/>
    <w:semiHidden/>
    <w:rsid w:val="00C6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26D1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06A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06A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7132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14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97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792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7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0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5080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udastar.mk.uni-pannon.h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3850B6BEEE4E6DA1B7C73FE2F585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A1D51C-030B-4146-8E8A-0CD841D6BBB7}"/>
      </w:docPartPr>
      <w:docPartBody>
        <w:p w:rsidR="00D247F7" w:rsidRDefault="00E005FB" w:rsidP="00E005FB">
          <w:pPr>
            <w:pStyle w:val="CF3850B6BEEE4E6DA1B7C73FE2F585BE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2B7B11E6A8054F6DBAF2FD06DEC5C0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D0B630-07F3-4DDA-A5A1-50F8E12B697F}"/>
      </w:docPartPr>
      <w:docPartBody>
        <w:p w:rsidR="00D247F7" w:rsidRDefault="00E005FB" w:rsidP="00E005FB">
          <w:pPr>
            <w:pStyle w:val="2B7B11E6A8054F6DBAF2FD06DEC5C0D34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  <w:docPart>
      <w:docPartPr>
        <w:name w:val="7364E883334A480FB8A1102BCA9FC4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3BF37F-3C06-4E33-8861-56F38FC392A3}"/>
      </w:docPartPr>
      <w:docPartBody>
        <w:p w:rsidR="00D247F7" w:rsidRDefault="00E005FB" w:rsidP="00E005FB">
          <w:pPr>
            <w:pStyle w:val="7364E883334A480FB8A1102BCA9FC4443"/>
          </w:pPr>
          <w:r w:rsidRPr="00705840">
            <w:rPr>
              <w:rStyle w:val="Helyrzszveg"/>
              <w:rFonts w:eastAsiaTheme="minorHAnsi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erif">
    <w:altName w:val="Cambria Math"/>
    <w:charset w:val="EE"/>
    <w:family w:val="roman"/>
    <w:pitch w:val="variable"/>
    <w:sig w:usb0="A000026F" w:usb1="5000203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FB"/>
    <w:rsid w:val="00107759"/>
    <w:rsid w:val="002A7443"/>
    <w:rsid w:val="0030187D"/>
    <w:rsid w:val="004B07E7"/>
    <w:rsid w:val="004C3B06"/>
    <w:rsid w:val="005A3B2C"/>
    <w:rsid w:val="0066651D"/>
    <w:rsid w:val="00934BCC"/>
    <w:rsid w:val="009C3C43"/>
    <w:rsid w:val="009E164F"/>
    <w:rsid w:val="00AB2C47"/>
    <w:rsid w:val="00C371CD"/>
    <w:rsid w:val="00C70284"/>
    <w:rsid w:val="00D247F7"/>
    <w:rsid w:val="00E005FB"/>
    <w:rsid w:val="00E202AC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005FB"/>
    <w:rPr>
      <w:color w:val="808080"/>
    </w:rPr>
  </w:style>
  <w:style w:type="paragraph" w:customStyle="1" w:styleId="2B7B11E6A8054F6DBAF2FD06DEC5C0D34">
    <w:name w:val="2B7B11E6A8054F6DBAF2FD06DEC5C0D3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50B6BEEE4E6DA1B7C73FE2F585BE4">
    <w:name w:val="CF3850B6BEEE4E6DA1B7C73FE2F585BE4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4E883334A480FB8A1102BCA9FC4443">
    <w:name w:val="7364E883334A480FB8A1102BCA9FC4443"/>
    <w:rsid w:val="00E005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1_llapot xmlns="61badf4c-b4a4-41e1-bb24-4247ef8e01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07264B298AF5458EEDC87F138804E0" ma:contentTypeVersion="5" ma:contentTypeDescription="Új dokumentum létrehozása." ma:contentTypeScope="" ma:versionID="4fde32ccfb57c2cfc1c091d4b8850948">
  <xsd:schema xmlns:xsd="http://www.w3.org/2001/XMLSchema" xmlns:xs="http://www.w3.org/2001/XMLSchema" xmlns:p="http://schemas.microsoft.com/office/2006/metadata/properties" xmlns:ns2="61badf4c-b4a4-41e1-bb24-4247ef8e01bb" targetNamespace="http://schemas.microsoft.com/office/2006/metadata/properties" ma:root="true" ma:fieldsID="798f9111bc99c127ef8489d2238c7dee" ns2:_="">
    <xsd:import namespace="61badf4c-b4a4-41e1-bb24-4247ef8e0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00c1_llap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adf4c-b4a4-41e1-bb24-4247ef8e0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c1_llapot" ma:index="12" nillable="true" ma:displayName="Állapot" ma:format="Dropdown" ma:internalName="_x00c1_llapo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38F7-5379-4245-AE27-159C40067A60}">
  <ds:schemaRefs>
    <ds:schemaRef ds:uri="http://schemas.microsoft.com/office/2006/metadata/properties"/>
    <ds:schemaRef ds:uri="http://schemas.microsoft.com/office/infopath/2007/PartnerControls"/>
    <ds:schemaRef ds:uri="61badf4c-b4a4-41e1-bb24-4247ef8e01bb"/>
  </ds:schemaRefs>
</ds:datastoreItem>
</file>

<file path=customXml/itemProps2.xml><?xml version="1.0" encoding="utf-8"?>
<ds:datastoreItem xmlns:ds="http://schemas.openxmlformats.org/officeDocument/2006/customXml" ds:itemID="{FAB03215-7113-4125-B36D-A5CBEBF66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adf4c-b4a4-41e1-bb24-4247ef8e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BE45B-C421-450C-991E-DB9F30066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CB53F-A206-4219-ABE6-401013F9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1215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Zaránd Szilvia</dc:creator>
  <cp:keywords/>
  <dc:description/>
  <cp:lastModifiedBy>Kinga Manuéla Berta</cp:lastModifiedBy>
  <cp:revision>4</cp:revision>
  <dcterms:created xsi:type="dcterms:W3CDTF">2025-02-18T13:15:00Z</dcterms:created>
  <dcterms:modified xsi:type="dcterms:W3CDTF">2025-02-20T06:43:00Z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0x0101004707264B298AF5458EEDC87F138804E0</vt:lpwstr>
  </property>
</Properties>
</file>